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76" w:rsidRPr="000F5E76" w:rsidRDefault="000F5E76" w:rsidP="000F5E76">
      <w:pPr>
        <w:spacing w:before="75" w:after="0" w:line="240" w:lineRule="auto"/>
        <w:outlineLvl w:val="1"/>
        <w:rPr>
          <w:rFonts w:ascii="Arial" w:eastAsia="Times New Roman" w:hAnsi="Arial" w:cs="Arial"/>
          <w:b/>
          <w:bCs/>
          <w:color w:val="0000FF"/>
          <w:sz w:val="33"/>
          <w:szCs w:val="33"/>
          <w:lang w:eastAsia="ru-RU"/>
        </w:rPr>
      </w:pPr>
      <w:bookmarkStart w:id="0" w:name="_GoBack"/>
      <w:r w:rsidRPr="000F5E76">
        <w:rPr>
          <w:rFonts w:ascii="Arial" w:eastAsia="Times New Roman" w:hAnsi="Arial" w:cs="Arial"/>
          <w:b/>
          <w:bCs/>
          <w:color w:val="0000FF"/>
          <w:sz w:val="33"/>
          <w:szCs w:val="33"/>
          <w:lang w:eastAsia="ru-RU"/>
        </w:rPr>
        <w:t xml:space="preserve">Бюджетный прогноз </w:t>
      </w:r>
      <w:proofErr w:type="spellStart"/>
      <w:r w:rsidRPr="000F5E76">
        <w:rPr>
          <w:rFonts w:ascii="Arial" w:eastAsia="Times New Roman" w:hAnsi="Arial" w:cs="Arial"/>
          <w:b/>
          <w:bCs/>
          <w:color w:val="0000FF"/>
          <w:sz w:val="33"/>
          <w:szCs w:val="33"/>
          <w:lang w:eastAsia="ru-RU"/>
        </w:rPr>
        <w:t>Долотинского</w:t>
      </w:r>
      <w:proofErr w:type="spellEnd"/>
      <w:r w:rsidRPr="000F5E76">
        <w:rPr>
          <w:rFonts w:ascii="Arial" w:eastAsia="Times New Roman" w:hAnsi="Arial" w:cs="Arial"/>
          <w:b/>
          <w:bCs/>
          <w:color w:val="0000FF"/>
          <w:sz w:val="33"/>
          <w:szCs w:val="33"/>
          <w:lang w:eastAsia="ru-RU"/>
        </w:rPr>
        <w:t xml:space="preserve"> сельского поселения на период 2017-2022 годов </w:t>
      </w:r>
    </w:p>
    <w:p w:rsidR="000F5E76" w:rsidRPr="000F5E76" w:rsidRDefault="000F5E76" w:rsidP="000F5E76">
      <w:pPr>
        <w:spacing w:after="0" w:line="240" w:lineRule="auto"/>
        <w:jc w:val="right"/>
        <w:rPr>
          <w:rFonts w:ascii="Arial" w:eastAsia="Times New Roman" w:hAnsi="Arial" w:cs="Arial"/>
          <w:color w:val="000000"/>
          <w:sz w:val="21"/>
          <w:szCs w:val="21"/>
          <w:lang w:eastAsia="ru-RU"/>
        </w:rPr>
      </w:pPr>
      <w:r w:rsidRPr="000F5E76">
        <w:rPr>
          <w:rFonts w:ascii="Arial" w:eastAsia="Times New Roman" w:hAnsi="Arial" w:cs="Arial"/>
          <w:b/>
          <w:bCs/>
          <w:color w:val="000000"/>
          <w:sz w:val="21"/>
          <w:szCs w:val="21"/>
          <w:lang w:eastAsia="ru-RU"/>
        </w:rPr>
        <w:t>Проект</w:t>
      </w:r>
    </w:p>
    <w:p w:rsidR="000F5E76" w:rsidRPr="000F5E76" w:rsidRDefault="000F5E76" w:rsidP="000F5E76">
      <w:pPr>
        <w:spacing w:after="0" w:line="240" w:lineRule="auto"/>
        <w:jc w:val="right"/>
        <w:rPr>
          <w:rFonts w:ascii="Arial" w:eastAsia="Times New Roman" w:hAnsi="Arial" w:cs="Arial"/>
          <w:color w:val="000000"/>
          <w:sz w:val="21"/>
          <w:szCs w:val="21"/>
          <w:lang w:eastAsia="ru-RU"/>
        </w:rPr>
      </w:pPr>
      <w:r w:rsidRPr="000F5E76">
        <w:rPr>
          <w:rFonts w:ascii="Arial" w:eastAsia="Times New Roman" w:hAnsi="Arial" w:cs="Arial"/>
          <w:b/>
          <w:bCs/>
          <w:color w:val="000000"/>
          <w:sz w:val="21"/>
          <w:szCs w:val="21"/>
          <w:lang w:eastAsia="ru-RU"/>
        </w:rPr>
        <w:t> </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b/>
          <w:bCs/>
          <w:color w:val="000000"/>
          <w:sz w:val="21"/>
          <w:szCs w:val="21"/>
          <w:lang w:eastAsia="ru-RU"/>
        </w:rPr>
        <w:t xml:space="preserve">Бюджетный прогноз </w:t>
      </w:r>
      <w:proofErr w:type="spellStart"/>
      <w:r w:rsidRPr="000F5E76">
        <w:rPr>
          <w:rFonts w:ascii="Arial" w:eastAsia="Times New Roman" w:hAnsi="Arial" w:cs="Arial"/>
          <w:b/>
          <w:bCs/>
          <w:color w:val="000000"/>
          <w:sz w:val="21"/>
          <w:szCs w:val="21"/>
          <w:lang w:eastAsia="ru-RU"/>
        </w:rPr>
        <w:t>Долотинского</w:t>
      </w:r>
      <w:proofErr w:type="spellEnd"/>
      <w:r w:rsidRPr="000F5E76">
        <w:rPr>
          <w:rFonts w:ascii="Arial" w:eastAsia="Times New Roman" w:hAnsi="Arial" w:cs="Arial"/>
          <w:b/>
          <w:bCs/>
          <w:color w:val="000000"/>
          <w:sz w:val="21"/>
          <w:szCs w:val="21"/>
          <w:lang w:eastAsia="ru-RU"/>
        </w:rPr>
        <w:t xml:space="preserve"> сельского поселения</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b/>
          <w:bCs/>
          <w:color w:val="000000"/>
          <w:sz w:val="21"/>
          <w:szCs w:val="21"/>
          <w:lang w:eastAsia="ru-RU"/>
        </w:rPr>
        <w:t> на период 2017-2022 годов</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Введение</w:t>
      </w:r>
    </w:p>
    <w:p w:rsidR="000F5E76" w:rsidRPr="000F5E76" w:rsidRDefault="000F5E76" w:rsidP="000F5E76">
      <w:pPr>
        <w:spacing w:after="0" w:line="240" w:lineRule="auto"/>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0F5E76">
        <w:rPr>
          <w:rFonts w:ascii="Arial" w:eastAsia="Times New Roman" w:hAnsi="Arial" w:cs="Arial"/>
          <w:color w:val="000000"/>
          <w:sz w:val="21"/>
          <w:szCs w:val="21"/>
          <w:vertAlign w:val="superscript"/>
          <w:lang w:eastAsia="ru-RU"/>
        </w:rPr>
        <w:t>1 </w:t>
      </w:r>
      <w:r w:rsidRPr="000F5E76">
        <w:rPr>
          <w:rFonts w:ascii="Arial" w:eastAsia="Times New Roman" w:hAnsi="Arial" w:cs="Arial"/>
          <w:color w:val="000000"/>
          <w:sz w:val="21"/>
          <w:szCs w:val="21"/>
          <w:lang w:eastAsia="ru-RU"/>
        </w:rPr>
        <w:t>«Долгосрочное бюджетное планирование».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0F5E76">
        <w:rPr>
          <w:rFonts w:ascii="Arial" w:eastAsia="Times New Roman" w:hAnsi="Arial" w:cs="Arial"/>
          <w:color w:val="000000"/>
          <w:sz w:val="21"/>
          <w:szCs w:val="21"/>
          <w:vertAlign w:val="superscript"/>
          <w:lang w:eastAsia="ru-RU"/>
        </w:rPr>
        <w:t>1</w:t>
      </w:r>
      <w:r w:rsidRPr="000F5E76">
        <w:rPr>
          <w:rFonts w:ascii="Arial" w:eastAsia="Times New Roman" w:hAnsi="Arial" w:cs="Arial"/>
          <w:color w:val="000000"/>
          <w:sz w:val="21"/>
          <w:szCs w:val="21"/>
          <w:lang w:eastAsia="ru-RU"/>
        </w:rPr>
        <w:t> «Долгосрочное бюджетное планирование».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Решение Собрания депутатов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от 10 сентября 2007 года № 13 «Об утверждении Положения о бюджетном процессе в муниципальном образовании «</w:t>
      </w:r>
      <w:proofErr w:type="spellStart"/>
      <w:r w:rsidRPr="000F5E76">
        <w:rPr>
          <w:rFonts w:ascii="Arial" w:eastAsia="Times New Roman" w:hAnsi="Arial" w:cs="Arial"/>
          <w:color w:val="000000"/>
          <w:sz w:val="21"/>
          <w:szCs w:val="21"/>
          <w:lang w:eastAsia="ru-RU"/>
        </w:rPr>
        <w:t>Долотинское</w:t>
      </w:r>
      <w:proofErr w:type="spellEnd"/>
      <w:r w:rsidRPr="000F5E76">
        <w:rPr>
          <w:rFonts w:ascii="Arial" w:eastAsia="Times New Roman" w:hAnsi="Arial" w:cs="Arial"/>
          <w:color w:val="000000"/>
          <w:sz w:val="21"/>
          <w:szCs w:val="21"/>
          <w:lang w:eastAsia="ru-RU"/>
        </w:rPr>
        <w:t xml:space="preserve"> сельское поселение» дополнено статьей «Долгосрочное бюджетное планирование»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Постановлением Администрации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от 20.01.2016 № 9 утверждены Правила разработки и утверждения бюджетного прогноза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долгосрочный период.</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Указанными Правилами установлено, что бюджетный прогноз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разрабатывается на долгосрочный период каждые три года на шесть лет на основе прогноза социально-экономического развития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соответствующий период, а также иных показателей социально-экономического развития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Проект бюджетного прогноза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а также основные подходы к формированию бюджетной политики в указанном периоде.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На период 2017-2019 годов параметры бюджетного прогноза сформированы с учетом проекта решения о бюджете на 2017 год и на плановый период 2018 и 2019 годов.</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С 2020 года главной идеологией проекта бюджетного прогноза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долгосрочный период предусмотрено отсутствие к 2021 году муниципального долга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101,2% ежегодно.</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В течение двух месяцев со дня официального опубликования решения Собрания депутатов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«О бюджете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w:t>
      </w:r>
      <w:proofErr w:type="spellStart"/>
      <w:r w:rsidRPr="000F5E76">
        <w:rPr>
          <w:rFonts w:ascii="Arial" w:eastAsia="Times New Roman" w:hAnsi="Arial" w:cs="Arial"/>
          <w:color w:val="000000"/>
          <w:sz w:val="21"/>
          <w:szCs w:val="21"/>
          <w:lang w:eastAsia="ru-RU"/>
        </w:rPr>
        <w:t>Красносулинского</w:t>
      </w:r>
      <w:proofErr w:type="spellEnd"/>
      <w:r w:rsidRPr="000F5E76">
        <w:rPr>
          <w:rFonts w:ascii="Arial" w:eastAsia="Times New Roman" w:hAnsi="Arial" w:cs="Arial"/>
          <w:color w:val="000000"/>
          <w:sz w:val="21"/>
          <w:szCs w:val="21"/>
          <w:lang w:eastAsia="ru-RU"/>
        </w:rPr>
        <w:t xml:space="preserve"> района на 2017 год и на плановый период 2018 и 2019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период их действия.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Бюджетный прогноз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период 2017-2022 годов может быть изменен с учетом принятия документов стратегического планирования на федеральном, областном и районном уровнях, а также уточнения показателей прогноза социально-экономического развития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долгосрочный период в соответствии со статьей 170</w:t>
      </w:r>
      <w:r w:rsidRPr="000F5E76">
        <w:rPr>
          <w:rFonts w:ascii="Arial" w:eastAsia="Times New Roman" w:hAnsi="Arial" w:cs="Arial"/>
          <w:color w:val="000000"/>
          <w:sz w:val="21"/>
          <w:szCs w:val="21"/>
          <w:vertAlign w:val="superscript"/>
          <w:lang w:eastAsia="ru-RU"/>
        </w:rPr>
        <w:t>1</w:t>
      </w:r>
      <w:r w:rsidRPr="000F5E76">
        <w:rPr>
          <w:rFonts w:ascii="Arial" w:eastAsia="Times New Roman" w:hAnsi="Arial" w:cs="Arial"/>
          <w:color w:val="000000"/>
          <w:sz w:val="21"/>
          <w:szCs w:val="21"/>
          <w:lang w:eastAsia="ru-RU"/>
        </w:rPr>
        <w:t> Бюджетного кодекса Российской Федерации.</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lastRenderedPageBreak/>
        <w:t> </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1.</w:t>
      </w:r>
      <w:r w:rsidRPr="000F5E76">
        <w:rPr>
          <w:rFonts w:ascii="Times New Roman" w:eastAsia="Times New Roman" w:hAnsi="Times New Roman" w:cs="Times New Roman"/>
          <w:color w:val="000000"/>
          <w:sz w:val="14"/>
          <w:szCs w:val="14"/>
          <w:lang w:eastAsia="ru-RU"/>
        </w:rPr>
        <w:t>            </w:t>
      </w:r>
      <w:r w:rsidRPr="000F5E76">
        <w:rPr>
          <w:rFonts w:ascii="Arial" w:eastAsia="Times New Roman" w:hAnsi="Arial" w:cs="Arial"/>
          <w:color w:val="000000"/>
          <w:sz w:val="21"/>
          <w:szCs w:val="21"/>
          <w:lang w:eastAsia="ru-RU"/>
        </w:rPr>
        <w:t>Основные параметры варианта долгосрочного прогноза,</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определенные в качестве базовых для целей долгосрочного бюджетного планирования</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примененные при разработке бюджетного прогноза</w:t>
      </w:r>
    </w:p>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из них:</w:t>
      </w:r>
    </w:p>
    <w:p w:rsidR="000F5E76" w:rsidRPr="000F5E76" w:rsidRDefault="000F5E76" w:rsidP="000F5E76">
      <w:pPr>
        <w:spacing w:after="0" w:line="221" w:lineRule="atLeast"/>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tbl>
      <w:tblPr>
        <w:tblW w:w="4950" w:type="pct"/>
        <w:tblInd w:w="5" w:type="dxa"/>
        <w:tblCellMar>
          <w:left w:w="0" w:type="dxa"/>
          <w:right w:w="0" w:type="dxa"/>
        </w:tblCellMar>
        <w:tblLook w:val="04A0" w:firstRow="1" w:lastRow="0" w:firstColumn="1" w:lastColumn="0" w:noHBand="0" w:noVBand="1"/>
      </w:tblPr>
      <w:tblGrid>
        <w:gridCol w:w="389"/>
        <w:gridCol w:w="2378"/>
        <w:gridCol w:w="1731"/>
        <w:gridCol w:w="822"/>
        <w:gridCol w:w="719"/>
        <w:gridCol w:w="778"/>
        <w:gridCol w:w="802"/>
        <w:gridCol w:w="747"/>
        <w:gridCol w:w="876"/>
      </w:tblGrid>
      <w:tr w:rsidR="000F5E76" w:rsidRPr="000F5E76" w:rsidTr="000F5E76">
        <w:trPr>
          <w:tblHeader/>
        </w:trPr>
        <w:tc>
          <w:tcPr>
            <w:tcW w:w="398" w:type="dxa"/>
            <w:vMerge w:val="restart"/>
            <w:tcBorders>
              <w:top w:val="single" w:sz="8" w:space="0" w:color="auto"/>
              <w:left w:val="single" w:sz="8" w:space="0" w:color="auto"/>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w:t>
            </w:r>
          </w:p>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п/п</w:t>
            </w:r>
          </w:p>
        </w:tc>
        <w:tc>
          <w:tcPr>
            <w:tcW w:w="2612" w:type="dxa"/>
            <w:vMerge w:val="restart"/>
            <w:tcBorders>
              <w:top w:val="single" w:sz="8" w:space="0" w:color="auto"/>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Основные показатели</w:t>
            </w:r>
          </w:p>
        </w:tc>
        <w:tc>
          <w:tcPr>
            <w:tcW w:w="1759" w:type="dxa"/>
            <w:vMerge w:val="restart"/>
            <w:tcBorders>
              <w:top w:val="single" w:sz="8" w:space="0" w:color="auto"/>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Единица измерения</w:t>
            </w:r>
          </w:p>
        </w:tc>
        <w:tc>
          <w:tcPr>
            <w:tcW w:w="4967" w:type="dxa"/>
            <w:gridSpan w:val="6"/>
            <w:tcBorders>
              <w:top w:val="single" w:sz="8" w:space="0" w:color="auto"/>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Год периода прогнозирования</w:t>
            </w:r>
          </w:p>
        </w:tc>
      </w:tr>
      <w:tr w:rsidR="000F5E76" w:rsidRPr="000F5E76" w:rsidTr="000F5E76">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p>
        </w:tc>
        <w:tc>
          <w:tcPr>
            <w:tcW w:w="866"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2017</w:t>
            </w:r>
          </w:p>
        </w:tc>
        <w:tc>
          <w:tcPr>
            <w:tcW w:w="740"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2018</w:t>
            </w:r>
          </w:p>
        </w:tc>
        <w:tc>
          <w:tcPr>
            <w:tcW w:w="81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2019</w:t>
            </w:r>
          </w:p>
        </w:tc>
        <w:tc>
          <w:tcPr>
            <w:tcW w:w="84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2020</w:t>
            </w:r>
          </w:p>
        </w:tc>
        <w:tc>
          <w:tcPr>
            <w:tcW w:w="775"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2021</w:t>
            </w:r>
          </w:p>
        </w:tc>
        <w:tc>
          <w:tcPr>
            <w:tcW w:w="93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2022</w:t>
            </w:r>
          </w:p>
        </w:tc>
      </w:tr>
      <w:tr w:rsidR="000F5E76" w:rsidRPr="000F5E76" w:rsidTr="000F5E76">
        <w:trPr>
          <w:tblHeader/>
        </w:trPr>
        <w:tc>
          <w:tcPr>
            <w:tcW w:w="398" w:type="dxa"/>
            <w:tcBorders>
              <w:top w:val="nil"/>
              <w:left w:val="single" w:sz="8" w:space="0" w:color="auto"/>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w:t>
            </w:r>
          </w:p>
        </w:tc>
        <w:tc>
          <w:tcPr>
            <w:tcW w:w="261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w:t>
            </w:r>
          </w:p>
        </w:tc>
        <w:tc>
          <w:tcPr>
            <w:tcW w:w="1759"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3</w:t>
            </w:r>
          </w:p>
        </w:tc>
        <w:tc>
          <w:tcPr>
            <w:tcW w:w="866"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w:t>
            </w:r>
          </w:p>
        </w:tc>
        <w:tc>
          <w:tcPr>
            <w:tcW w:w="740"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5</w:t>
            </w:r>
          </w:p>
        </w:tc>
        <w:tc>
          <w:tcPr>
            <w:tcW w:w="81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6</w:t>
            </w:r>
          </w:p>
        </w:tc>
        <w:tc>
          <w:tcPr>
            <w:tcW w:w="84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7</w:t>
            </w:r>
          </w:p>
        </w:tc>
        <w:tc>
          <w:tcPr>
            <w:tcW w:w="775"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8</w:t>
            </w:r>
          </w:p>
        </w:tc>
        <w:tc>
          <w:tcPr>
            <w:tcW w:w="93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9</w:t>
            </w:r>
          </w:p>
        </w:tc>
      </w:tr>
      <w:tr w:rsidR="000F5E76" w:rsidRPr="000F5E76" w:rsidTr="000F5E76">
        <w:tc>
          <w:tcPr>
            <w:tcW w:w="398" w:type="dxa"/>
            <w:tcBorders>
              <w:top w:val="nil"/>
              <w:left w:val="single" w:sz="8" w:space="0" w:color="auto"/>
              <w:bottom w:val="single" w:sz="8" w:space="0" w:color="auto"/>
              <w:right w:val="single" w:sz="8" w:space="0" w:color="auto"/>
            </w:tcBorders>
            <w:hideMark/>
          </w:tcPr>
          <w:p w:rsidR="000F5E76" w:rsidRPr="000F5E76" w:rsidRDefault="000F5E76" w:rsidP="000F5E76">
            <w:pPr>
              <w:spacing w:after="0" w:line="221" w:lineRule="atLeast"/>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w:t>
            </w:r>
          </w:p>
        </w:tc>
        <w:tc>
          <w:tcPr>
            <w:tcW w:w="2612" w:type="dxa"/>
            <w:tcBorders>
              <w:top w:val="nil"/>
              <w:left w:val="nil"/>
              <w:bottom w:val="single" w:sz="8" w:space="0" w:color="auto"/>
              <w:right w:val="single" w:sz="8" w:space="0" w:color="auto"/>
            </w:tcBorders>
            <w:hideMark/>
          </w:tcPr>
          <w:p w:rsidR="000F5E76" w:rsidRPr="000F5E76" w:rsidRDefault="000F5E76" w:rsidP="000F5E76">
            <w:pPr>
              <w:spacing w:after="0" w:line="221" w:lineRule="atLeast"/>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Изменение Фонда заработной платы</w:t>
            </w:r>
          </w:p>
        </w:tc>
        <w:tc>
          <w:tcPr>
            <w:tcW w:w="1759"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процентов к предыдущему году</w:t>
            </w:r>
          </w:p>
        </w:tc>
        <w:tc>
          <w:tcPr>
            <w:tcW w:w="866"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105,4</w:t>
            </w:r>
          </w:p>
        </w:tc>
        <w:tc>
          <w:tcPr>
            <w:tcW w:w="740"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105,6</w:t>
            </w:r>
          </w:p>
        </w:tc>
        <w:tc>
          <w:tcPr>
            <w:tcW w:w="812"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107,3</w:t>
            </w:r>
          </w:p>
        </w:tc>
        <w:tc>
          <w:tcPr>
            <w:tcW w:w="842"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108,6</w:t>
            </w:r>
          </w:p>
        </w:tc>
        <w:tc>
          <w:tcPr>
            <w:tcW w:w="775"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108,9</w:t>
            </w:r>
          </w:p>
        </w:tc>
        <w:tc>
          <w:tcPr>
            <w:tcW w:w="932" w:type="dxa"/>
            <w:tcBorders>
              <w:top w:val="nil"/>
              <w:left w:val="nil"/>
              <w:bottom w:val="single" w:sz="8" w:space="0" w:color="auto"/>
              <w:right w:val="single" w:sz="8" w:space="0" w:color="auto"/>
            </w:tcBorders>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109,0</w:t>
            </w:r>
          </w:p>
        </w:tc>
      </w:tr>
    </w:tbl>
    <w:p w:rsidR="000F5E76" w:rsidRPr="000F5E76" w:rsidRDefault="000F5E76" w:rsidP="000F5E76">
      <w:pPr>
        <w:spacing w:after="0" w:line="240" w:lineRule="auto"/>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                  2. Прогноз основных характеристик бюджета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w:t>
      </w:r>
    </w:p>
    <w:p w:rsidR="000F5E76" w:rsidRPr="000F5E76" w:rsidRDefault="000F5E76" w:rsidP="000F5E76">
      <w:pPr>
        <w:spacing w:after="0" w:line="240" w:lineRule="auto"/>
        <w:jc w:val="right"/>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(тыс. рублей)</w:t>
      </w:r>
    </w:p>
    <w:tbl>
      <w:tblPr>
        <w:tblW w:w="9930" w:type="dxa"/>
        <w:tblInd w:w="62" w:type="dxa"/>
        <w:tblCellMar>
          <w:left w:w="0" w:type="dxa"/>
          <w:right w:w="0" w:type="dxa"/>
        </w:tblCellMar>
        <w:tblLook w:val="04A0" w:firstRow="1" w:lastRow="0" w:firstColumn="1" w:lastColumn="0" w:noHBand="0" w:noVBand="1"/>
      </w:tblPr>
      <w:tblGrid>
        <w:gridCol w:w="3829"/>
        <w:gridCol w:w="1134"/>
        <w:gridCol w:w="994"/>
        <w:gridCol w:w="993"/>
        <w:gridCol w:w="993"/>
        <w:gridCol w:w="993"/>
        <w:gridCol w:w="994"/>
      </w:tblGrid>
      <w:tr w:rsidR="000F5E76" w:rsidRPr="000F5E76" w:rsidTr="000F5E76">
        <w:trPr>
          <w:tblHeader/>
        </w:trPr>
        <w:tc>
          <w:tcPr>
            <w:tcW w:w="382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b/>
                <w:bCs/>
                <w:sz w:val="24"/>
                <w:szCs w:val="24"/>
                <w:lang w:eastAsia="ru-RU"/>
              </w:rPr>
              <w:t>Наименование показателя</w:t>
            </w:r>
          </w:p>
        </w:tc>
        <w:tc>
          <w:tcPr>
            <w:tcW w:w="6096"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b/>
                <w:bCs/>
                <w:sz w:val="24"/>
                <w:szCs w:val="24"/>
                <w:lang w:eastAsia="ru-RU"/>
              </w:rPr>
              <w:t>Год периода прогнозирования</w:t>
            </w:r>
          </w:p>
        </w:tc>
      </w:tr>
      <w:tr w:rsidR="000F5E76" w:rsidRPr="000F5E76" w:rsidTr="000F5E76">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2017</w:t>
            </w:r>
          </w:p>
        </w:tc>
        <w:tc>
          <w:tcPr>
            <w:tcW w:w="993"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2018</w:t>
            </w:r>
          </w:p>
        </w:tc>
        <w:tc>
          <w:tcPr>
            <w:tcW w:w="99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2019</w:t>
            </w:r>
          </w:p>
        </w:tc>
        <w:tc>
          <w:tcPr>
            <w:tcW w:w="99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2020</w:t>
            </w:r>
          </w:p>
        </w:tc>
        <w:tc>
          <w:tcPr>
            <w:tcW w:w="99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2021</w:t>
            </w:r>
          </w:p>
        </w:tc>
        <w:tc>
          <w:tcPr>
            <w:tcW w:w="993"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2022</w:t>
            </w:r>
          </w:p>
        </w:tc>
      </w:tr>
      <w:tr w:rsidR="000F5E76" w:rsidRPr="000F5E76" w:rsidTr="000F5E76">
        <w:trPr>
          <w:tblHeader/>
        </w:trPr>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3</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5</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6</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7</w:t>
            </w:r>
          </w:p>
        </w:tc>
      </w:tr>
      <w:tr w:rsidR="000F5E76" w:rsidRPr="000F5E76" w:rsidTr="000F5E76">
        <w:tc>
          <w:tcPr>
            <w:tcW w:w="9924"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b/>
                <w:bCs/>
                <w:sz w:val="24"/>
                <w:szCs w:val="24"/>
                <w:lang w:eastAsia="ru-RU"/>
              </w:rPr>
              <w:t xml:space="preserve">Показатели бюджета </w:t>
            </w:r>
            <w:proofErr w:type="spellStart"/>
            <w:r w:rsidRPr="000F5E76">
              <w:rPr>
                <w:rFonts w:ascii="Arial" w:eastAsia="Times New Roman" w:hAnsi="Arial" w:cs="Arial"/>
                <w:b/>
                <w:bCs/>
                <w:sz w:val="24"/>
                <w:szCs w:val="24"/>
                <w:lang w:eastAsia="ru-RU"/>
              </w:rPr>
              <w:t>Долотинского</w:t>
            </w:r>
            <w:proofErr w:type="spellEnd"/>
            <w:r w:rsidRPr="000F5E76">
              <w:rPr>
                <w:rFonts w:ascii="Arial" w:eastAsia="Times New Roman" w:hAnsi="Arial" w:cs="Arial"/>
                <w:b/>
                <w:bCs/>
                <w:sz w:val="24"/>
                <w:szCs w:val="24"/>
                <w:lang w:eastAsia="ru-RU"/>
              </w:rPr>
              <w:t xml:space="preserve"> сельского поселения</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Доходы, в том числе:</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15 007,5</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4 272,6</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4 159,1</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4 211,7</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4265,4</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4320,1</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налоговые и неналоговые доходы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4 509,8</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2 569,4</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2 630,9</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2 683,5</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2 737,2</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2791,9</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безвозмездные поступления</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10 497,7</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1 703,2</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1 528,2</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1 528,2</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1 528,2</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1 528,2</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15 007,5</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4 272,6</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4 159,1</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4 211,7</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4265,4</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4320,1</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Дефицит/</w:t>
            </w:r>
          </w:p>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профицит</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Источники финансирования дефицита бюджета</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0,0</w:t>
            </w:r>
          </w:p>
        </w:tc>
      </w:tr>
      <w:tr w:rsidR="000F5E76" w:rsidRPr="000F5E76" w:rsidTr="000F5E76">
        <w:tc>
          <w:tcPr>
            <w:tcW w:w="3828"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Муниципальный долг к налоговым и неналоговым доходам, %</w:t>
            </w:r>
          </w:p>
        </w:tc>
        <w:tc>
          <w:tcPr>
            <w:tcW w:w="11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55,4</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66,2</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48,7</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48,5</w:t>
            </w:r>
          </w:p>
        </w:tc>
        <w:tc>
          <w:tcPr>
            <w:tcW w:w="99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w:t>
            </w:r>
          </w:p>
        </w:tc>
        <w:tc>
          <w:tcPr>
            <w:tcW w:w="99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F5E76" w:rsidRPr="000F5E76" w:rsidRDefault="000F5E76" w:rsidP="000F5E76">
            <w:pPr>
              <w:spacing w:after="0" w:line="240" w:lineRule="auto"/>
              <w:jc w:val="center"/>
              <w:rPr>
                <w:rFonts w:ascii="Times New Roman" w:eastAsia="Times New Roman" w:hAnsi="Times New Roman" w:cs="Times New Roman"/>
                <w:sz w:val="24"/>
                <w:szCs w:val="24"/>
                <w:lang w:eastAsia="ru-RU"/>
              </w:rPr>
            </w:pPr>
            <w:r w:rsidRPr="000F5E76">
              <w:rPr>
                <w:rFonts w:ascii="Arial" w:eastAsia="Times New Roman" w:hAnsi="Arial" w:cs="Arial"/>
                <w:sz w:val="24"/>
                <w:szCs w:val="24"/>
                <w:lang w:eastAsia="ru-RU"/>
              </w:rPr>
              <w:t>-</w:t>
            </w:r>
          </w:p>
        </w:tc>
      </w:tr>
    </w:tbl>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2.2. Основные подходы к формированию бюджетной политики</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период 2017-2022 годов</w:t>
      </w:r>
    </w:p>
    <w:p w:rsidR="000F5E76" w:rsidRPr="000F5E76" w:rsidRDefault="000F5E76" w:rsidP="000F5E76">
      <w:pPr>
        <w:spacing w:after="0" w:line="242" w:lineRule="atLeast"/>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Бюджетный прогноз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период 2017-2022 годов разработан на основе прогноза социально-экономического развития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на 2017-2019 годы.</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Расчет прогнозных показателей дефицита (профицита), источников его финансирования и муниципального долга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lastRenderedPageBreak/>
        <w:t>В прогнозируемом периоде будет продолжена взвешенная долговая политика с учетом снижения уровня долговой нагрузки.</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Бюджетная политика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при одновременном обеспечении устойчивости и сбалансированности бюджетной системы.</w:t>
      </w:r>
    </w:p>
    <w:p w:rsidR="000F5E76" w:rsidRPr="000F5E76" w:rsidRDefault="000F5E76" w:rsidP="000F5E76">
      <w:pPr>
        <w:spacing w:after="0" w:line="242" w:lineRule="atLeast"/>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2" w:lineRule="atLeast"/>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Основные подходы в части собственных (налоговых и неналоговых) доходов</w:t>
      </w:r>
    </w:p>
    <w:p w:rsidR="000F5E76" w:rsidRPr="000F5E76" w:rsidRDefault="000F5E76" w:rsidP="000F5E76">
      <w:pPr>
        <w:spacing w:after="0" w:line="242" w:lineRule="atLeast"/>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За период 2010-2012 годов динамика налоговых и неналоговых доходов наглядно демонстрирует ежегодное увеличение доходной части бюджета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За период 2013-2015 годов наблюдается снижение поступлений налоговых и неналоговых доходов. Снижение поступлений в основном обусловлено снижением налоговых доходов. Уменьшение связано с прекращением производственно-хозяйственной деятельности и нахождением в процедуре банкротства угольного предприятия шахта «</w:t>
      </w:r>
      <w:proofErr w:type="spellStart"/>
      <w:r w:rsidRPr="000F5E76">
        <w:rPr>
          <w:rFonts w:ascii="Arial" w:eastAsia="Times New Roman" w:hAnsi="Arial" w:cs="Arial"/>
          <w:color w:val="000000"/>
          <w:sz w:val="21"/>
          <w:szCs w:val="21"/>
          <w:lang w:eastAsia="ru-RU"/>
        </w:rPr>
        <w:t>Замчаловская</w:t>
      </w:r>
      <w:proofErr w:type="spellEnd"/>
      <w:r w:rsidRPr="000F5E76">
        <w:rPr>
          <w:rFonts w:ascii="Arial" w:eastAsia="Times New Roman" w:hAnsi="Arial" w:cs="Arial"/>
          <w:color w:val="000000"/>
          <w:sz w:val="21"/>
          <w:szCs w:val="21"/>
          <w:lang w:eastAsia="ru-RU"/>
        </w:rPr>
        <w:t>» ОАО «</w:t>
      </w:r>
      <w:proofErr w:type="spellStart"/>
      <w:r w:rsidRPr="000F5E76">
        <w:rPr>
          <w:rFonts w:ascii="Arial" w:eastAsia="Times New Roman" w:hAnsi="Arial" w:cs="Arial"/>
          <w:color w:val="000000"/>
          <w:sz w:val="21"/>
          <w:szCs w:val="21"/>
          <w:lang w:eastAsia="ru-RU"/>
        </w:rPr>
        <w:t>Замчаловский</w:t>
      </w:r>
      <w:proofErr w:type="spellEnd"/>
      <w:r w:rsidRPr="000F5E76">
        <w:rPr>
          <w:rFonts w:ascii="Arial" w:eastAsia="Times New Roman" w:hAnsi="Arial" w:cs="Arial"/>
          <w:color w:val="000000"/>
          <w:sz w:val="21"/>
          <w:szCs w:val="21"/>
          <w:lang w:eastAsia="ru-RU"/>
        </w:rPr>
        <w:t xml:space="preserve"> Антрацит», поступление налогов от которого всегда являлось основным источником доходов бюджета поселения, создания материальных благ, товарной и денежной массы, рабочих мест и инвестиционных источников.</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Также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 с применением показателей первого варианта долгосрочного прогноза социально-экономического развития Ростовской области на период до 2030 года и на основе прогноза социально-экономического развития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на 2017-2019 годы.</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Прогнозирование на долгосрочную перспективу осуществлялось в условиях позитивных тенденций, сложившихся в предыдущие годы с учетом роста прибыли прибыльных предприятий, фонда заработной платы и т.д.</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В 2017-2022 годах будут предприняты меры на создание условий по обеспечению устойчивых темпов роста в реальном секторе экономики и повышение жизненного уровня населения.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В прогнозируемом периоде по прогнозу социально-экономического развития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на 2017-2019 годы с учетом перспектив развития ожидается рост сельскохозяйственного производства, ввода жилья, оборота розничной торговли. Продолжится увеличение реальной заработной платы и денежных доходов населения.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Основные подходы в части областной финансовой помощи</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Дотация на выравнивание бюджетной обеспеченности и субвенции из областного бюджета начиная с 2020 года в прогнозе предусмотрены на уровне 2019 года.</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Основные подходы в части расходов</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Эффективная бюджетная политика является непременным условием адаптации экономики к новым реалиям.</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proofErr w:type="spellStart"/>
      <w:r w:rsidRPr="000F5E76">
        <w:rPr>
          <w:rFonts w:ascii="Arial" w:eastAsia="Times New Roman" w:hAnsi="Arial" w:cs="Arial"/>
          <w:color w:val="000000"/>
          <w:sz w:val="21"/>
          <w:szCs w:val="21"/>
          <w:lang w:eastAsia="ru-RU"/>
        </w:rPr>
        <w:t>Долотинского</w:t>
      </w:r>
      <w:proofErr w:type="spellEnd"/>
      <w:r w:rsidRPr="000F5E76">
        <w:rPr>
          <w:rFonts w:ascii="Arial" w:eastAsia="Times New Roman" w:hAnsi="Arial" w:cs="Arial"/>
          <w:color w:val="000000"/>
          <w:sz w:val="21"/>
          <w:szCs w:val="21"/>
          <w:lang w:eastAsia="ru-RU"/>
        </w:rPr>
        <w:t xml:space="preserve"> сельского поселения. К таковым, в первую очередь, относятся инвестиции в человеческий капитал.</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В соответствии с федеральными и областными подходами определены основные стратегические направления на долгосрочную перспективу.</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Необходимо перейти на новое качество муниципального управления. Будет разработана и внедрена концепция перевода работы аппарата на проектный принцип. Переход </w:t>
      </w:r>
      <w:r w:rsidRPr="000F5E76">
        <w:rPr>
          <w:rFonts w:ascii="Arial" w:eastAsia="Times New Roman" w:hAnsi="Arial" w:cs="Arial"/>
          <w:color w:val="000000"/>
          <w:sz w:val="21"/>
          <w:szCs w:val="21"/>
          <w:lang w:eastAsia="ru-RU"/>
        </w:rPr>
        <w:lastRenderedPageBreak/>
        <w:t>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Основные подходы к долговой политике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Важнейшей задачей является обеспечение уровня муниципального долга, позволяющего исполнять расходные обязательства.</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По итогам 2015 года фактический объем муниципального долга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составил 3 615,3 тыс. рублей. Предельный объем муниципального долга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соответствует требованиям ст.107 БК РФ.</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Основной целью долговой политики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на период до 2022 года будет являться ограничение муниципального долга и минимизация расходов на его обслуживание.</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Учитывая сбалансированность бюджета поселения кредитные ресурсы будут привлекаться только для обеспечения исполнения долговых обязательств. </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В результате муниципальный долг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должен стабилизироваться, к 2021 году предусмотрено отсутствие муниципального долга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w:t>
      </w:r>
    </w:p>
    <w:p w:rsidR="000F5E76" w:rsidRPr="000F5E76" w:rsidRDefault="000F5E76" w:rsidP="000F5E76">
      <w:pPr>
        <w:spacing w:after="0" w:line="240" w:lineRule="auto"/>
        <w:ind w:firstLine="709"/>
        <w:jc w:val="both"/>
        <w:rPr>
          <w:rFonts w:ascii="Arial" w:eastAsia="Times New Roman" w:hAnsi="Arial" w:cs="Arial"/>
          <w:color w:val="000000"/>
          <w:sz w:val="21"/>
          <w:szCs w:val="21"/>
          <w:lang w:eastAsia="ru-RU"/>
        </w:rPr>
      </w:pPr>
      <w:r w:rsidRPr="000F5E76">
        <w:rPr>
          <w:rFonts w:ascii="Arial" w:eastAsia="Times New Roman" w:hAnsi="Arial" w:cs="Arial"/>
          <w:color w:val="000000"/>
          <w:sz w:val="20"/>
          <w:szCs w:val="20"/>
          <w:lang w:eastAsia="ru-RU"/>
        </w:rPr>
        <w:t xml:space="preserve">Муниципальная долговая политика будет направлена на обеспечение платежеспособности </w:t>
      </w:r>
      <w:proofErr w:type="spellStart"/>
      <w:r w:rsidRPr="000F5E76">
        <w:rPr>
          <w:rFonts w:ascii="Arial" w:eastAsia="Times New Roman" w:hAnsi="Arial" w:cs="Arial"/>
          <w:color w:val="000000"/>
          <w:sz w:val="20"/>
          <w:szCs w:val="20"/>
          <w:lang w:eastAsia="ru-RU"/>
        </w:rPr>
        <w:t>Долотинского</w:t>
      </w:r>
      <w:proofErr w:type="spellEnd"/>
      <w:r w:rsidRPr="000F5E76">
        <w:rPr>
          <w:rFonts w:ascii="Arial" w:eastAsia="Times New Roman" w:hAnsi="Arial" w:cs="Arial"/>
          <w:color w:val="000000"/>
          <w:sz w:val="20"/>
          <w:szCs w:val="20"/>
          <w:lang w:eastAsia="ru-RU"/>
        </w:rPr>
        <w:t xml:space="preserve">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условиях.</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jc w:val="center"/>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xml:space="preserve">Глава Администрации </w:t>
      </w:r>
      <w:proofErr w:type="spellStart"/>
      <w:r w:rsidRPr="000F5E76">
        <w:rPr>
          <w:rFonts w:ascii="Arial" w:eastAsia="Times New Roman" w:hAnsi="Arial" w:cs="Arial"/>
          <w:color w:val="000000"/>
          <w:sz w:val="21"/>
          <w:szCs w:val="21"/>
          <w:lang w:eastAsia="ru-RU"/>
        </w:rPr>
        <w:t>Долотинского</w:t>
      </w:r>
      <w:proofErr w:type="spellEnd"/>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сельского поселения                                                              Е.Н. Кудинова</w:t>
      </w:r>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 </w:t>
      </w:r>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Начальник сектора экономики</w:t>
      </w:r>
    </w:p>
    <w:p w:rsidR="000F5E76" w:rsidRPr="000F5E76" w:rsidRDefault="000F5E76" w:rsidP="000F5E76">
      <w:pPr>
        <w:spacing w:after="0" w:line="240" w:lineRule="auto"/>
        <w:ind w:firstLine="709"/>
        <w:rPr>
          <w:rFonts w:ascii="Arial" w:eastAsia="Times New Roman" w:hAnsi="Arial" w:cs="Arial"/>
          <w:color w:val="000000"/>
          <w:sz w:val="21"/>
          <w:szCs w:val="21"/>
          <w:lang w:eastAsia="ru-RU"/>
        </w:rPr>
      </w:pPr>
      <w:r w:rsidRPr="000F5E76">
        <w:rPr>
          <w:rFonts w:ascii="Arial" w:eastAsia="Times New Roman" w:hAnsi="Arial" w:cs="Arial"/>
          <w:color w:val="000000"/>
          <w:sz w:val="21"/>
          <w:szCs w:val="21"/>
          <w:lang w:eastAsia="ru-RU"/>
        </w:rPr>
        <w:t>и финансов                                                                             О.Д. Давыдова</w:t>
      </w:r>
    </w:p>
    <w:bookmarkEnd w:id="0"/>
    <w:p w:rsidR="00B4078A" w:rsidRPr="000F5E76" w:rsidRDefault="00B4078A" w:rsidP="000F5E76"/>
    <w:sectPr w:rsidR="00B4078A" w:rsidRPr="000F5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2"/>
    <w:rsid w:val="000F5E76"/>
    <w:rsid w:val="008D2B22"/>
    <w:rsid w:val="00B4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A615-7AF5-410A-BA98-39FB3F1E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8D2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B2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2B22"/>
  </w:style>
  <w:style w:type="character" w:styleId="a3">
    <w:name w:val="Hyperlink"/>
    <w:basedOn w:val="a0"/>
    <w:uiPriority w:val="99"/>
    <w:semiHidden/>
    <w:unhideWhenUsed/>
    <w:rsid w:val="008D2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2628">
      <w:bodyDiv w:val="1"/>
      <w:marLeft w:val="0"/>
      <w:marRight w:val="0"/>
      <w:marTop w:val="0"/>
      <w:marBottom w:val="0"/>
      <w:divBdr>
        <w:top w:val="none" w:sz="0" w:space="0" w:color="auto"/>
        <w:left w:val="none" w:sz="0" w:space="0" w:color="auto"/>
        <w:bottom w:val="none" w:sz="0" w:space="0" w:color="auto"/>
        <w:right w:val="none" w:sz="0" w:space="0" w:color="auto"/>
      </w:divBdr>
      <w:divsChild>
        <w:div w:id="1480464907">
          <w:marLeft w:val="0"/>
          <w:marRight w:val="0"/>
          <w:marTop w:val="0"/>
          <w:marBottom w:val="0"/>
          <w:divBdr>
            <w:top w:val="none" w:sz="0" w:space="0" w:color="auto"/>
            <w:left w:val="none" w:sz="0" w:space="0" w:color="auto"/>
            <w:bottom w:val="none" w:sz="0" w:space="0" w:color="auto"/>
            <w:right w:val="none" w:sz="0" w:space="0" w:color="auto"/>
          </w:divBdr>
          <w:divsChild>
            <w:div w:id="259030275">
              <w:marLeft w:val="1069"/>
              <w:marRight w:val="0"/>
              <w:marTop w:val="0"/>
              <w:marBottom w:val="0"/>
              <w:divBdr>
                <w:top w:val="none" w:sz="0" w:space="0" w:color="auto"/>
                <w:left w:val="none" w:sz="0" w:space="0" w:color="auto"/>
                <w:bottom w:val="none" w:sz="0" w:space="0" w:color="auto"/>
                <w:right w:val="none" w:sz="0" w:space="0" w:color="auto"/>
              </w:divBdr>
            </w:div>
            <w:div w:id="343095116">
              <w:marLeft w:val="-57"/>
              <w:marRight w:val="-56"/>
              <w:marTop w:val="0"/>
              <w:marBottom w:val="0"/>
              <w:divBdr>
                <w:top w:val="none" w:sz="0" w:space="0" w:color="auto"/>
                <w:left w:val="none" w:sz="0" w:space="0" w:color="auto"/>
                <w:bottom w:val="none" w:sz="0" w:space="0" w:color="auto"/>
                <w:right w:val="none" w:sz="0" w:space="0" w:color="auto"/>
              </w:divBdr>
            </w:div>
            <w:div w:id="1760567224">
              <w:marLeft w:val="-57"/>
              <w:marRight w:val="-56"/>
              <w:marTop w:val="0"/>
              <w:marBottom w:val="0"/>
              <w:divBdr>
                <w:top w:val="none" w:sz="0" w:space="0" w:color="auto"/>
                <w:left w:val="none" w:sz="0" w:space="0" w:color="auto"/>
                <w:bottom w:val="none" w:sz="0" w:space="0" w:color="auto"/>
                <w:right w:val="none" w:sz="0" w:space="0" w:color="auto"/>
              </w:divBdr>
            </w:div>
            <w:div w:id="1635212881">
              <w:marLeft w:val="0"/>
              <w:marRight w:val="-57"/>
              <w:marTop w:val="0"/>
              <w:marBottom w:val="0"/>
              <w:divBdr>
                <w:top w:val="none" w:sz="0" w:space="0" w:color="auto"/>
                <w:left w:val="none" w:sz="0" w:space="0" w:color="auto"/>
                <w:bottom w:val="none" w:sz="0" w:space="0" w:color="auto"/>
                <w:right w:val="none" w:sz="0" w:space="0" w:color="auto"/>
              </w:divBdr>
            </w:div>
            <w:div w:id="914587585">
              <w:marLeft w:val="0"/>
              <w:marRight w:val="0"/>
              <w:marTop w:val="0"/>
              <w:marBottom w:val="0"/>
              <w:divBdr>
                <w:top w:val="none" w:sz="0" w:space="0" w:color="auto"/>
                <w:left w:val="none" w:sz="0" w:space="0" w:color="auto"/>
                <w:bottom w:val="none" w:sz="0" w:space="0" w:color="auto"/>
                <w:right w:val="none" w:sz="0" w:space="0" w:color="auto"/>
              </w:divBdr>
            </w:div>
            <w:div w:id="1134912019">
              <w:marLeft w:val="0"/>
              <w:marRight w:val="0"/>
              <w:marTop w:val="0"/>
              <w:marBottom w:val="0"/>
              <w:divBdr>
                <w:top w:val="none" w:sz="0" w:space="0" w:color="auto"/>
                <w:left w:val="none" w:sz="0" w:space="0" w:color="auto"/>
                <w:bottom w:val="none" w:sz="0" w:space="0" w:color="auto"/>
                <w:right w:val="none" w:sz="0" w:space="0" w:color="auto"/>
              </w:divBdr>
            </w:div>
            <w:div w:id="402995561">
              <w:marLeft w:val="0"/>
              <w:marRight w:val="0"/>
              <w:marTop w:val="0"/>
              <w:marBottom w:val="0"/>
              <w:divBdr>
                <w:top w:val="none" w:sz="0" w:space="0" w:color="auto"/>
                <w:left w:val="none" w:sz="0" w:space="0" w:color="auto"/>
                <w:bottom w:val="none" w:sz="0" w:space="0" w:color="auto"/>
                <w:right w:val="none" w:sz="0" w:space="0" w:color="auto"/>
              </w:divBdr>
            </w:div>
            <w:div w:id="116992729">
              <w:marLeft w:val="0"/>
              <w:marRight w:val="0"/>
              <w:marTop w:val="0"/>
              <w:marBottom w:val="0"/>
              <w:divBdr>
                <w:top w:val="none" w:sz="0" w:space="0" w:color="auto"/>
                <w:left w:val="none" w:sz="0" w:space="0" w:color="auto"/>
                <w:bottom w:val="none" w:sz="0" w:space="0" w:color="auto"/>
                <w:right w:val="none" w:sz="0" w:space="0" w:color="auto"/>
              </w:divBdr>
            </w:div>
            <w:div w:id="1715157254">
              <w:marLeft w:val="0"/>
              <w:marRight w:val="0"/>
              <w:marTop w:val="0"/>
              <w:marBottom w:val="0"/>
              <w:divBdr>
                <w:top w:val="none" w:sz="0" w:space="0" w:color="auto"/>
                <w:left w:val="none" w:sz="0" w:space="0" w:color="auto"/>
                <w:bottom w:val="none" w:sz="0" w:space="0" w:color="auto"/>
                <w:right w:val="none" w:sz="0" w:space="0" w:color="auto"/>
              </w:divBdr>
            </w:div>
            <w:div w:id="1174496021">
              <w:marLeft w:val="0"/>
              <w:marRight w:val="0"/>
              <w:marTop w:val="0"/>
              <w:marBottom w:val="0"/>
              <w:divBdr>
                <w:top w:val="none" w:sz="0" w:space="0" w:color="auto"/>
                <w:left w:val="none" w:sz="0" w:space="0" w:color="auto"/>
                <w:bottom w:val="none" w:sz="0" w:space="0" w:color="auto"/>
                <w:right w:val="none" w:sz="0" w:space="0" w:color="auto"/>
              </w:divBdr>
            </w:div>
            <w:div w:id="833908855">
              <w:marLeft w:val="0"/>
              <w:marRight w:val="0"/>
              <w:marTop w:val="0"/>
              <w:marBottom w:val="0"/>
              <w:divBdr>
                <w:top w:val="none" w:sz="0" w:space="0" w:color="auto"/>
                <w:left w:val="none" w:sz="0" w:space="0" w:color="auto"/>
                <w:bottom w:val="none" w:sz="0" w:space="0" w:color="auto"/>
                <w:right w:val="none" w:sz="0" w:space="0" w:color="auto"/>
              </w:divBdr>
            </w:div>
            <w:div w:id="917835648">
              <w:marLeft w:val="0"/>
              <w:marRight w:val="0"/>
              <w:marTop w:val="0"/>
              <w:marBottom w:val="0"/>
              <w:divBdr>
                <w:top w:val="none" w:sz="0" w:space="0" w:color="auto"/>
                <w:left w:val="none" w:sz="0" w:space="0" w:color="auto"/>
                <w:bottom w:val="none" w:sz="0" w:space="0" w:color="auto"/>
                <w:right w:val="none" w:sz="0" w:space="0" w:color="auto"/>
              </w:divBdr>
            </w:div>
            <w:div w:id="911934123">
              <w:marLeft w:val="0"/>
              <w:marRight w:val="0"/>
              <w:marTop w:val="0"/>
              <w:marBottom w:val="0"/>
              <w:divBdr>
                <w:top w:val="none" w:sz="0" w:space="0" w:color="auto"/>
                <w:left w:val="none" w:sz="0" w:space="0" w:color="auto"/>
                <w:bottom w:val="none" w:sz="0" w:space="0" w:color="auto"/>
                <w:right w:val="none" w:sz="0" w:space="0" w:color="auto"/>
              </w:divBdr>
            </w:div>
            <w:div w:id="341201088">
              <w:marLeft w:val="0"/>
              <w:marRight w:val="0"/>
              <w:marTop w:val="0"/>
              <w:marBottom w:val="0"/>
              <w:divBdr>
                <w:top w:val="none" w:sz="0" w:space="0" w:color="auto"/>
                <w:left w:val="none" w:sz="0" w:space="0" w:color="auto"/>
                <w:bottom w:val="none" w:sz="0" w:space="0" w:color="auto"/>
                <w:right w:val="none" w:sz="0" w:space="0" w:color="auto"/>
              </w:divBdr>
            </w:div>
            <w:div w:id="2004624826">
              <w:marLeft w:val="0"/>
              <w:marRight w:val="0"/>
              <w:marTop w:val="0"/>
              <w:marBottom w:val="0"/>
              <w:divBdr>
                <w:top w:val="none" w:sz="0" w:space="0" w:color="auto"/>
                <w:left w:val="none" w:sz="0" w:space="0" w:color="auto"/>
                <w:bottom w:val="none" w:sz="0" w:space="0" w:color="auto"/>
                <w:right w:val="none" w:sz="0" w:space="0" w:color="auto"/>
              </w:divBdr>
            </w:div>
            <w:div w:id="1835871698">
              <w:marLeft w:val="0"/>
              <w:marRight w:val="0"/>
              <w:marTop w:val="0"/>
              <w:marBottom w:val="0"/>
              <w:divBdr>
                <w:top w:val="none" w:sz="0" w:space="0" w:color="auto"/>
                <w:left w:val="none" w:sz="0" w:space="0" w:color="auto"/>
                <w:bottom w:val="none" w:sz="0" w:space="0" w:color="auto"/>
                <w:right w:val="none" w:sz="0" w:space="0" w:color="auto"/>
              </w:divBdr>
            </w:div>
            <w:div w:id="1544517276">
              <w:marLeft w:val="0"/>
              <w:marRight w:val="0"/>
              <w:marTop w:val="0"/>
              <w:marBottom w:val="0"/>
              <w:divBdr>
                <w:top w:val="none" w:sz="0" w:space="0" w:color="auto"/>
                <w:left w:val="none" w:sz="0" w:space="0" w:color="auto"/>
                <w:bottom w:val="none" w:sz="0" w:space="0" w:color="auto"/>
                <w:right w:val="none" w:sz="0" w:space="0" w:color="auto"/>
              </w:divBdr>
            </w:div>
            <w:div w:id="2082368569">
              <w:marLeft w:val="0"/>
              <w:marRight w:val="0"/>
              <w:marTop w:val="0"/>
              <w:marBottom w:val="0"/>
              <w:divBdr>
                <w:top w:val="none" w:sz="0" w:space="0" w:color="auto"/>
                <w:left w:val="none" w:sz="0" w:space="0" w:color="auto"/>
                <w:bottom w:val="none" w:sz="0" w:space="0" w:color="auto"/>
                <w:right w:val="none" w:sz="0" w:space="0" w:color="auto"/>
              </w:divBdr>
            </w:div>
            <w:div w:id="1841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2028">
      <w:bodyDiv w:val="1"/>
      <w:marLeft w:val="0"/>
      <w:marRight w:val="0"/>
      <w:marTop w:val="0"/>
      <w:marBottom w:val="0"/>
      <w:divBdr>
        <w:top w:val="none" w:sz="0" w:space="0" w:color="auto"/>
        <w:left w:val="none" w:sz="0" w:space="0" w:color="auto"/>
        <w:bottom w:val="none" w:sz="0" w:space="0" w:color="auto"/>
        <w:right w:val="none" w:sz="0" w:space="0" w:color="auto"/>
      </w:divBdr>
      <w:divsChild>
        <w:div w:id="201066246">
          <w:marLeft w:val="0"/>
          <w:marRight w:val="0"/>
          <w:marTop w:val="0"/>
          <w:marBottom w:val="0"/>
          <w:divBdr>
            <w:top w:val="none" w:sz="0" w:space="0" w:color="auto"/>
            <w:left w:val="none" w:sz="0" w:space="0" w:color="auto"/>
            <w:bottom w:val="none" w:sz="0" w:space="0" w:color="auto"/>
            <w:right w:val="none" w:sz="0" w:space="0" w:color="auto"/>
          </w:divBdr>
          <w:divsChild>
            <w:div w:id="190190856">
              <w:marLeft w:val="9923"/>
              <w:marRight w:val="0"/>
              <w:marTop w:val="0"/>
              <w:marBottom w:val="0"/>
              <w:divBdr>
                <w:top w:val="none" w:sz="0" w:space="0" w:color="auto"/>
                <w:left w:val="none" w:sz="0" w:space="0" w:color="auto"/>
                <w:bottom w:val="none" w:sz="0" w:space="0" w:color="auto"/>
                <w:right w:val="none" w:sz="0" w:space="0" w:color="auto"/>
              </w:divBdr>
            </w:div>
            <w:div w:id="1840778176">
              <w:marLeft w:val="32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2</cp:revision>
  <dcterms:created xsi:type="dcterms:W3CDTF">2017-01-10T13:00:00Z</dcterms:created>
  <dcterms:modified xsi:type="dcterms:W3CDTF">2017-01-10T13:00:00Z</dcterms:modified>
</cp:coreProperties>
</file>