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b/>
          <w:bCs/>
        </w:rPr>
      </w:pPr>
      <w:r>
        <w:rPr>
          <w:b/>
          <w:bCs/>
        </w:rPr>
        <w:t>ПРОЕКТ</w:t>
      </w:r>
    </w:p>
    <w:p>
      <w:pPr>
        <w:pStyle w:val="Normal"/>
        <w:jc w:val="center"/>
        <w:rPr/>
      </w:pPr>
      <w:r>
        <w:rPr/>
      </w:r>
    </w:p>
    <w:p>
      <w:pPr>
        <w:pStyle w:val="Normal"/>
        <w:jc w:val="center"/>
        <w:rPr/>
      </w:pPr>
      <w:r>
        <w:rPr/>
        <w:t>РОСТОВСКАЯ ОБЛАСТЬ</w:t>
      </w:r>
    </w:p>
    <w:p>
      <w:pPr>
        <w:pStyle w:val="Normal"/>
        <w:jc w:val="center"/>
        <w:rPr/>
      </w:pPr>
      <w:r>
        <w:rPr/>
        <w:t>КРАСНОСУЛИНСКИЙ РАЙОН</w:t>
      </w:r>
    </w:p>
    <w:p>
      <w:pPr>
        <w:pStyle w:val="Normal"/>
        <w:jc w:val="both"/>
        <w:rPr/>
      </w:pPr>
      <w:r>
        <w:rPr/>
        <w:t>СОБРАНИЕ ДЕПУТАТОВ  ДОЛОТИНСКОГО  СЕЛЬСКОГО ПОСЕЛЕНИЯ</w:t>
      </w:r>
    </w:p>
    <w:p>
      <w:pPr>
        <w:pStyle w:val="Normal"/>
        <w:jc w:val="center"/>
        <w:rPr/>
      </w:pPr>
      <w:r>
        <w:rPr/>
        <w:t xml:space="preserve">                         </w:t>
      </w:r>
    </w:p>
    <w:p>
      <w:pPr>
        <w:pStyle w:val="Normal"/>
        <w:jc w:val="center"/>
        <w:rPr/>
      </w:pPr>
      <w:r>
        <w:rPr/>
      </w:r>
    </w:p>
    <w:p>
      <w:pPr>
        <w:pStyle w:val="Normal"/>
        <w:jc w:val="center"/>
        <w:rPr/>
      </w:pPr>
      <w:r>
        <w:rPr/>
        <w:t>Решение</w:t>
      </w:r>
    </w:p>
    <w:p>
      <w:pPr>
        <w:pStyle w:val="Normal"/>
        <w:jc w:val="center"/>
        <w:rPr/>
      </w:pPr>
      <w:r>
        <w:rPr/>
      </w:r>
    </w:p>
    <w:p>
      <w:pPr>
        <w:pStyle w:val="Normal"/>
        <w:tabs>
          <w:tab w:val="clear" w:pos="708"/>
          <w:tab w:val="left" w:pos="3900" w:leader="none"/>
        </w:tabs>
        <w:rPr/>
      </w:pPr>
      <w:r>
        <w:rPr/>
        <w:t>______</w:t>
      </w:r>
      <w:r>
        <w:rPr/>
        <w:t xml:space="preserve">.2012                                                          № </w:t>
      </w:r>
      <w:r>
        <w:rPr/>
        <w:t>____</w:t>
      </w:r>
      <w:r>
        <w:rPr/>
        <w:t xml:space="preserve">                                х. Молаканский</w:t>
      </w:r>
    </w:p>
    <w:p>
      <w:pPr>
        <w:pStyle w:val="BodyText2"/>
        <w:spacing w:lineRule="auto" w:line="240" w:before="0" w:after="0"/>
        <w:rPr/>
      </w:pPr>
      <w:r>
        <w:rPr/>
      </w:r>
    </w:p>
    <w:p>
      <w:pPr>
        <w:pStyle w:val="BodyText2"/>
        <w:spacing w:lineRule="auto" w:line="240" w:before="0" w:after="0"/>
        <w:rPr/>
      </w:pPr>
      <w:r>
        <w:rPr/>
        <w:t xml:space="preserve">Об утверждении Программы </w:t>
      </w:r>
    </w:p>
    <w:p>
      <w:pPr>
        <w:pStyle w:val="BodyText2"/>
        <w:spacing w:lineRule="auto" w:line="240" w:before="0" w:after="0"/>
        <w:rPr/>
      </w:pPr>
      <w:r>
        <w:rPr/>
        <w:t xml:space="preserve">комплексного развития систем </w:t>
      </w:r>
    </w:p>
    <w:p>
      <w:pPr>
        <w:pStyle w:val="BodyText2"/>
        <w:spacing w:lineRule="auto" w:line="240" w:before="0" w:after="0"/>
        <w:rPr/>
      </w:pPr>
      <w:r>
        <w:rPr/>
        <w:t xml:space="preserve">коммунальной инфраструктуры </w:t>
      </w:r>
    </w:p>
    <w:p>
      <w:pPr>
        <w:pStyle w:val="BodyText2"/>
        <w:spacing w:lineRule="auto" w:line="240" w:before="0" w:after="0"/>
        <w:rPr/>
      </w:pPr>
      <w:r>
        <w:rPr/>
        <w:t xml:space="preserve">муниципального образования </w:t>
      </w:r>
    </w:p>
    <w:p>
      <w:pPr>
        <w:pStyle w:val="BodyText2"/>
        <w:spacing w:lineRule="auto" w:line="240" w:before="0" w:after="0"/>
        <w:rPr/>
      </w:pPr>
      <w:r>
        <w:rPr/>
        <w:t>«Долотинское сельское поселение»</w:t>
      </w:r>
    </w:p>
    <w:p>
      <w:pPr>
        <w:pStyle w:val="BodyText2"/>
        <w:spacing w:lineRule="auto" w:line="240" w:before="0" w:after="0"/>
        <w:rPr/>
      </w:pPr>
      <w:r>
        <w:rPr/>
        <w:t xml:space="preserve"> </w:t>
      </w:r>
      <w:r>
        <w:rPr/>
        <w:t xml:space="preserve">Красносулинского района </w:t>
      </w:r>
    </w:p>
    <w:p>
      <w:pPr>
        <w:pStyle w:val="BodyText2"/>
        <w:spacing w:lineRule="auto" w:line="240" w:before="0" w:after="0"/>
        <w:rPr/>
      </w:pPr>
      <w:r>
        <w:rPr/>
        <w:t xml:space="preserve">Ростовской области на  2012-2014 г.г. </w:t>
      </w:r>
    </w:p>
    <w:p>
      <w:pPr>
        <w:pStyle w:val="BodyText2"/>
        <w:spacing w:lineRule="auto" w:line="240" w:before="0" w:after="0"/>
        <w:rPr/>
      </w:pPr>
      <w:r>
        <w:rPr/>
        <w:t>и перспективное развитие  до 2029 г.</w:t>
      </w:r>
    </w:p>
    <w:p>
      <w:pPr>
        <w:pStyle w:val="BodyText2"/>
        <w:spacing w:lineRule="auto" w:line="240" w:before="0" w:after="0"/>
        <w:rPr/>
      </w:pPr>
      <w:r>
        <w:rPr/>
      </w:r>
    </w:p>
    <w:p>
      <w:pPr>
        <w:pStyle w:val="Normal"/>
        <w:tabs>
          <w:tab w:val="clear" w:pos="708"/>
          <w:tab w:val="left" w:pos="4110" w:leader="none"/>
        </w:tabs>
        <w:jc w:val="center"/>
        <w:rPr/>
      </w:pPr>
      <w:r>
        <w:rPr/>
        <w:t>СОБРАНИЕ ДЕПУТАТОВ РЕШИЛО:</w:t>
      </w:r>
    </w:p>
    <w:p>
      <w:pPr>
        <w:pStyle w:val="Normal"/>
        <w:tabs>
          <w:tab w:val="clear" w:pos="708"/>
          <w:tab w:val="left" w:pos="4110" w:leader="none"/>
        </w:tabs>
        <w:jc w:val="center"/>
        <w:rPr/>
      </w:pPr>
      <w:r>
        <w:rPr/>
      </w:r>
    </w:p>
    <w:p>
      <w:pPr>
        <w:pStyle w:val="ListParagraph"/>
        <w:spacing w:before="0" w:after="0"/>
        <w:ind w:left="0"/>
        <w:contextualSpacing/>
        <w:jc w:val="both"/>
        <w:rPr/>
      </w:pPr>
      <w:r>
        <w:rPr/>
        <w:t>1.Утвердить Программу комплексного развития систем коммунальной инфраструктуры муниципального образования «Долотинское сельское поселение» Красносулинского района Ростовской области на  2012-2014 г.г. и перспективное развитие  до 2029 г</w:t>
      </w:r>
      <w:r>
        <w:rPr>
          <w:b/>
        </w:rPr>
        <w:t>.</w:t>
      </w:r>
      <w:r>
        <w:rPr/>
        <w:t xml:space="preserve"> (Приложение).</w:t>
      </w:r>
    </w:p>
    <w:p>
      <w:pPr>
        <w:pStyle w:val="ListParagraph"/>
        <w:spacing w:before="0" w:after="0"/>
        <w:ind w:left="720"/>
        <w:contextualSpacing/>
        <w:jc w:val="both"/>
        <w:rPr/>
      </w:pPr>
      <w:r>
        <w:rPr/>
      </w:r>
    </w:p>
    <w:p>
      <w:pPr>
        <w:pStyle w:val="ListParagraph"/>
        <w:spacing w:before="0" w:after="0"/>
        <w:ind w:left="0"/>
        <w:contextualSpacing/>
        <w:jc w:val="both"/>
        <w:rPr/>
      </w:pPr>
      <w:r>
        <w:rPr/>
        <w:t>2.Сектору экономики и финансов Администрации Долотинского сельского поселения  (Лучининой С.В.) при формировании  бюджета поселения   предусматривать ассигнования на реализацию Программы комплексного развития систем коммунальной инфраструктуры муниципального образования «Долотинское сельское поселение» Красносулинского района Ростовской области на  2012-2014 г.г. и перспективное развитие  до 2029 г</w:t>
      </w:r>
      <w:r>
        <w:rPr>
          <w:b/>
        </w:rPr>
        <w:t>.</w:t>
      </w:r>
    </w:p>
    <w:p>
      <w:pPr>
        <w:pStyle w:val="Normal"/>
        <w:spacing w:before="0" w:after="0"/>
        <w:contextualSpacing/>
        <w:jc w:val="both"/>
        <w:rPr/>
      </w:pPr>
      <w:r>
        <w:rPr/>
      </w:r>
    </w:p>
    <w:p>
      <w:pPr>
        <w:pStyle w:val="ListParagraph"/>
        <w:spacing w:before="0" w:after="0"/>
        <w:ind w:left="0"/>
        <w:contextualSpacing/>
        <w:jc w:val="both"/>
        <w:rPr/>
      </w:pPr>
      <w:r>
        <w:rPr/>
        <w:t>3.Контроль за исполнением настоящего решения возложить на Главу Долотинского сельского поселения  Е.Н.Кудинову.</w:t>
      </w:r>
    </w:p>
    <w:p>
      <w:pPr>
        <w:pStyle w:val="Style31"/>
        <w:widowControl/>
        <w:tabs>
          <w:tab w:val="clear" w:pos="708"/>
          <w:tab w:val="left" w:pos="811" w:leader="none"/>
        </w:tabs>
        <w:spacing w:lineRule="auto" w:line="240"/>
        <w:ind w:hanging="0" w:left="0"/>
        <w:rPr/>
      </w:pPr>
      <w:r>
        <w:rPr/>
      </w:r>
    </w:p>
    <w:p>
      <w:pPr>
        <w:pStyle w:val="Normal"/>
        <w:jc w:val="both"/>
        <w:rPr/>
      </w:pPr>
      <w:r>
        <w:rPr/>
      </w:r>
    </w:p>
    <w:p>
      <w:pPr>
        <w:pStyle w:val="Normal"/>
        <w:rPr/>
      </w:pPr>
      <w:r>
        <w:rPr/>
        <w:t xml:space="preserve"> </w:t>
      </w:r>
    </w:p>
    <w:p>
      <w:pPr>
        <w:pStyle w:val="Normal"/>
        <w:rPr/>
      </w:pPr>
      <w:r>
        <w:rPr/>
      </w:r>
    </w:p>
    <w:p>
      <w:pPr>
        <w:pStyle w:val="Normal"/>
        <w:rPr/>
      </w:pPr>
      <w:r>
        <w:rPr/>
        <w:t>Глава Долотинского</w:t>
      </w:r>
    </w:p>
    <w:p>
      <w:pPr>
        <w:pStyle w:val="Normal"/>
        <w:rPr/>
      </w:pPr>
      <w:r>
        <w:rPr/>
        <w:t>сельского поселения                                                                       Е.Н.Кудинова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Приложение</w:t>
      </w:r>
    </w:p>
    <w:p>
      <w:pPr>
        <w:pStyle w:val="Normal"/>
        <w:jc w:val="right"/>
        <w:rPr/>
      </w:pPr>
      <w:r>
        <w:rPr/>
        <w:t>к решению</w:t>
      </w:r>
    </w:p>
    <w:p>
      <w:pPr>
        <w:pStyle w:val="Normal"/>
        <w:jc w:val="right"/>
        <w:rPr/>
      </w:pPr>
      <w:r>
        <w:rPr/>
        <w:t>Собрания</w:t>
      </w:r>
    </w:p>
    <w:p>
      <w:pPr>
        <w:pStyle w:val="Normal"/>
        <w:jc w:val="right"/>
        <w:rPr/>
      </w:pPr>
      <w:r>
        <w:rPr/>
        <w:t>депутатов</w:t>
      </w:r>
    </w:p>
    <w:p>
      <w:pPr>
        <w:pStyle w:val="Normal"/>
        <w:jc w:val="right"/>
        <w:rPr/>
      </w:pPr>
      <w:r>
        <w:rPr/>
        <w:t>Долотинского</w:t>
      </w:r>
    </w:p>
    <w:p>
      <w:pPr>
        <w:pStyle w:val="Normal"/>
        <w:jc w:val="right"/>
        <w:rPr/>
      </w:pPr>
      <w:r>
        <w:rPr/>
        <w:t>сельского поселения</w:t>
      </w:r>
    </w:p>
    <w:p>
      <w:pPr>
        <w:pStyle w:val="Normal"/>
        <w:jc w:val="right"/>
        <w:rPr/>
      </w:pPr>
      <w:r>
        <w:rPr/>
        <w:t>от 31.05.2012 № 131</w:t>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BodyText2"/>
        <w:spacing w:lineRule="auto" w:line="240" w:before="0" w:after="0"/>
        <w:jc w:val="center"/>
        <w:rPr>
          <w:b/>
          <w:sz w:val="32"/>
          <w:szCs w:val="32"/>
        </w:rPr>
      </w:pPr>
      <w:r>
        <w:rPr>
          <w:b/>
          <w:sz w:val="32"/>
          <w:szCs w:val="32"/>
        </w:rPr>
        <w:t xml:space="preserve">ПРОГРАММА КОМПЛЕКСНОГО РАЗВИТИЯ СИСТЕМ </w:t>
      </w:r>
    </w:p>
    <w:p>
      <w:pPr>
        <w:pStyle w:val="BodyText2"/>
        <w:spacing w:lineRule="auto" w:line="240" w:before="0" w:after="0"/>
        <w:jc w:val="center"/>
        <w:rPr>
          <w:b/>
          <w:sz w:val="32"/>
          <w:szCs w:val="32"/>
        </w:rPr>
      </w:pPr>
      <w:r>
        <w:rPr>
          <w:b/>
          <w:sz w:val="32"/>
          <w:szCs w:val="32"/>
        </w:rPr>
        <w:t>КОММУНАЛЬНОЙ ИНФРАСТРУКТУРЫ</w:t>
        <w:br/>
        <w:t>МУНИЦИПАЛЬНОГО ОБРАЗОВАНИЯ</w:t>
      </w:r>
    </w:p>
    <w:p>
      <w:pPr>
        <w:pStyle w:val="BodyText2"/>
        <w:spacing w:lineRule="auto" w:line="240" w:before="0" w:after="0"/>
        <w:jc w:val="center"/>
        <w:rPr>
          <w:b/>
          <w:sz w:val="32"/>
          <w:szCs w:val="32"/>
        </w:rPr>
      </w:pPr>
      <w:r>
        <w:rPr>
          <w:b/>
          <w:sz w:val="32"/>
          <w:szCs w:val="32"/>
        </w:rPr>
        <w:t xml:space="preserve"> </w:t>
      </w:r>
      <w:r>
        <w:rPr>
          <w:b/>
          <w:sz w:val="32"/>
          <w:szCs w:val="32"/>
        </w:rPr>
        <w:t>«ДОЛОТИНСКОЕ СЕЛЬСКОЕ ПОСЕЛЕНИЕ» КРАСНОСУЛИНСКОГО  РАЙОНА</w:t>
      </w:r>
    </w:p>
    <w:p>
      <w:pPr>
        <w:pStyle w:val="BodyText2"/>
        <w:spacing w:lineRule="auto" w:line="240" w:before="0" w:after="0"/>
        <w:jc w:val="center"/>
        <w:rPr>
          <w:b/>
          <w:sz w:val="32"/>
          <w:szCs w:val="32"/>
        </w:rPr>
      </w:pPr>
      <w:r>
        <w:rPr>
          <w:b/>
          <w:sz w:val="32"/>
          <w:szCs w:val="32"/>
        </w:rPr>
        <w:t xml:space="preserve"> </w:t>
      </w:r>
      <w:r>
        <w:rPr>
          <w:b/>
          <w:sz w:val="32"/>
          <w:szCs w:val="32"/>
        </w:rPr>
        <w:t>РОСТОВСКОЙ ОБЛАСТИ НА 2012-2014 г.г.</w:t>
      </w:r>
    </w:p>
    <w:p>
      <w:pPr>
        <w:pStyle w:val="Normal"/>
        <w:jc w:val="center"/>
        <w:rPr>
          <w:b/>
          <w:sz w:val="40"/>
          <w:szCs w:val="40"/>
        </w:rPr>
      </w:pPr>
      <w:r>
        <w:rPr>
          <w:b/>
          <w:sz w:val="32"/>
          <w:szCs w:val="32"/>
        </w:rPr>
        <w:t xml:space="preserve"> </w:t>
      </w:r>
      <w:r>
        <w:rPr>
          <w:b/>
          <w:sz w:val="32"/>
          <w:szCs w:val="32"/>
        </w:rPr>
        <w:t>И ПЕРСПЕКТИВНОЕ РАЗВИТИЕ ДО 2029 г</w:t>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jc w:val="center"/>
        <w:rPr>
          <w:b/>
          <w:sz w:val="40"/>
          <w:szCs w:val="40"/>
        </w:rPr>
      </w:pPr>
      <w:r>
        <w:rPr>
          <w:b/>
          <w:sz w:val="40"/>
          <w:szCs w:val="40"/>
        </w:rPr>
      </w:r>
    </w:p>
    <w:p>
      <w:pPr>
        <w:pStyle w:val="Normal"/>
        <w:ind w:right="-2"/>
        <w:jc w:val="center"/>
        <w:rPr>
          <w:b/>
        </w:rPr>
      </w:pPr>
      <w:r>
        <w:rPr>
          <w:b/>
        </w:rPr>
        <w:t>Состав программного документа:</w:t>
      </w:r>
    </w:p>
    <w:p>
      <w:pPr>
        <w:pStyle w:val="Normal"/>
        <w:numPr>
          <w:ilvl w:val="0"/>
          <w:numId w:val="2"/>
        </w:numPr>
        <w:ind w:hanging="360" w:left="720" w:right="-2"/>
        <w:jc w:val="both"/>
        <w:rPr>
          <w:b/>
        </w:rPr>
      </w:pPr>
      <w:r>
        <w:rPr>
          <w:b/>
        </w:rPr>
        <w:t>Паспорт программы;</w:t>
      </w:r>
    </w:p>
    <w:p>
      <w:pPr>
        <w:pStyle w:val="Normal"/>
        <w:numPr>
          <w:ilvl w:val="0"/>
          <w:numId w:val="2"/>
        </w:numPr>
        <w:ind w:hanging="360" w:left="720" w:right="-2"/>
        <w:jc w:val="both"/>
        <w:rPr>
          <w:b/>
        </w:rPr>
      </w:pPr>
      <w:r>
        <w:rPr>
          <w:b/>
        </w:rPr>
        <w:t>Характеристика существующего состояния коммунальной инфраструктуры;</w:t>
      </w:r>
    </w:p>
    <w:p>
      <w:pPr>
        <w:pStyle w:val="Normal"/>
        <w:numPr>
          <w:ilvl w:val="0"/>
          <w:numId w:val="2"/>
        </w:numPr>
        <w:ind w:hanging="360" w:left="720" w:right="-2"/>
        <w:jc w:val="both"/>
        <w:rPr>
          <w:b/>
        </w:rPr>
      </w:pPr>
      <w:r>
        <w:rPr>
          <w:b/>
        </w:rPr>
        <w:t>перспективы развития муниципального образования и прогноз спроса на коммунальные ресурсы;</w:t>
      </w:r>
    </w:p>
    <w:p>
      <w:pPr>
        <w:pStyle w:val="Normal"/>
        <w:numPr>
          <w:ilvl w:val="0"/>
          <w:numId w:val="2"/>
        </w:numPr>
        <w:ind w:hanging="360" w:left="720" w:right="-2"/>
        <w:jc w:val="both"/>
        <w:rPr>
          <w:b/>
        </w:rPr>
      </w:pPr>
      <w:r>
        <w:rPr>
          <w:b/>
        </w:rPr>
        <w:t>Целевые показатели развития коммунальной инфраструктуры;</w:t>
      </w:r>
    </w:p>
    <w:p>
      <w:pPr>
        <w:pStyle w:val="Normal"/>
        <w:numPr>
          <w:ilvl w:val="0"/>
          <w:numId w:val="2"/>
        </w:numPr>
        <w:ind w:hanging="360" w:left="720" w:right="-2"/>
        <w:jc w:val="both"/>
        <w:rPr>
          <w:b/>
        </w:rPr>
      </w:pPr>
      <w:r>
        <w:rPr>
          <w:b/>
        </w:rPr>
        <w:t>Программа инвестиционных проектов, обеспечивающих достижение целевых показателей;</w:t>
      </w:r>
    </w:p>
    <w:p>
      <w:pPr>
        <w:pStyle w:val="Normal"/>
        <w:numPr>
          <w:ilvl w:val="0"/>
          <w:numId w:val="2"/>
        </w:numPr>
        <w:ind w:hanging="360" w:left="720" w:right="-2"/>
        <w:jc w:val="both"/>
        <w:rPr>
          <w:b/>
        </w:rPr>
      </w:pPr>
      <w:r>
        <w:rPr>
          <w:b/>
        </w:rPr>
        <w:t>источники инвестиций, тарифы и доступность программы для населения;</w:t>
      </w:r>
    </w:p>
    <w:p>
      <w:pPr>
        <w:pStyle w:val="Normal"/>
        <w:numPr>
          <w:ilvl w:val="0"/>
          <w:numId w:val="2"/>
        </w:numPr>
        <w:ind w:hanging="360" w:left="720" w:right="-2"/>
        <w:jc w:val="both"/>
        <w:rPr>
          <w:b/>
        </w:rPr>
      </w:pPr>
      <w:r>
        <w:rPr>
          <w:b/>
        </w:rPr>
        <w:t>Управление программой.</w:t>
      </w:r>
    </w:p>
    <w:p>
      <w:pPr>
        <w:pStyle w:val="Normal"/>
        <w:ind w:right="-2"/>
        <w:jc w:val="center"/>
        <w:rPr>
          <w:b/>
        </w:rPr>
      </w:pPr>
      <w:r>
        <w:rPr>
          <w:b/>
        </w:rPr>
      </w:r>
    </w:p>
    <w:p>
      <w:pPr>
        <w:pStyle w:val="Normal"/>
        <w:ind w:right="-2"/>
        <w:jc w:val="center"/>
        <w:rPr/>
      </w:pPr>
      <w:r>
        <w:rPr>
          <w:b/>
        </w:rPr>
        <w:t>Раздел 1.Паспорт Программы</w:t>
      </w:r>
    </w:p>
    <w:p>
      <w:pPr>
        <w:pStyle w:val="Normal"/>
        <w:jc w:val="center"/>
        <w:rPr>
          <w:b/>
        </w:rPr>
      </w:pPr>
      <w:r>
        <w:rPr>
          <w:b/>
        </w:rPr>
      </w:r>
    </w:p>
    <w:p>
      <w:pPr>
        <w:pStyle w:val="Normal"/>
        <w:jc w:val="center"/>
        <w:rPr/>
      </w:pPr>
      <w:r>
        <w:rPr/>
      </w:r>
    </w:p>
    <w:tbl>
      <w:tblPr>
        <w:tblW w:w="1018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48"/>
        <w:gridCol w:w="7739"/>
      </w:tblGrid>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Наименование Программы</w:t>
            </w:r>
          </w:p>
        </w:tc>
        <w:tc>
          <w:tcPr>
            <w:tcW w:w="7739" w:type="dxa"/>
            <w:tcBorders>
              <w:top w:val="single" w:sz="4" w:space="0" w:color="000000"/>
              <w:left w:val="single" w:sz="4" w:space="0" w:color="000000"/>
              <w:bottom w:val="single" w:sz="4" w:space="0" w:color="000000"/>
              <w:right w:val="single" w:sz="4" w:space="0" w:color="000000"/>
            </w:tcBorders>
          </w:tcPr>
          <w:p>
            <w:pPr>
              <w:pStyle w:val="Normal"/>
              <w:jc w:val="both"/>
              <w:rPr/>
            </w:pPr>
            <w:r>
              <w:rPr/>
              <w:t>Программа комплексного развития коммунальной инфраструктуры муниципального образования «Долотинское сельское поселение» Красносулинского района на 2012-2014 г.г. и перспективное развитие до 2029 г. (далее Программа).</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Нормативно-правовая база разработки Программы</w:t>
            </w:r>
          </w:p>
        </w:tc>
        <w:tc>
          <w:tcPr>
            <w:tcW w:w="7739" w:type="dxa"/>
            <w:tcBorders>
              <w:top w:val="single" w:sz="4" w:space="0" w:color="000000"/>
              <w:left w:val="single" w:sz="4" w:space="0" w:color="000000"/>
              <w:bottom w:val="single" w:sz="4" w:space="0" w:color="000000"/>
              <w:right w:val="single" w:sz="4" w:space="0" w:color="000000"/>
            </w:tcBorders>
          </w:tcPr>
          <w:p>
            <w:pPr>
              <w:pStyle w:val="Normal"/>
              <w:jc w:val="both"/>
              <w:rPr/>
            </w:pPr>
            <w:r>
              <w:rPr/>
              <w:t>Федеральный закон от 06.10.2003 №131-ФЗ «Об общих принципах организации местного самоуправления в Российской Федерации»; Федеральный закон от 30.12.2004 №210-ФЗ «Об основах регулирования тарифов организаций коммунального комплекса»; Федеральная программа «Жилище» на 2011-2015 годы, утверждённая Постановлением Правительства Российской Федерации от  17.12.2010 № 1050; Генеральный план муниципального образования «Долотинское сельское поселение» Красносулинского района Ростовской области на период с 2012 - по 2029 г.г.</w:t>
            </w:r>
            <w:r>
              <w:rPr>
                <w:color w:val="FF0000"/>
              </w:rPr>
              <w:t xml:space="preserve">, </w:t>
            </w:r>
            <w:r>
              <w:rPr/>
              <w:t>Муниципальная долгосрочная Целевая программа «Комплексное развитие территории Долотинского сельского поселения на 2010-2014 утверждённая постановлением  Администрации Долотинского сельского поселения от 13.10.2009 №115.</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Заказчик Программы</w:t>
            </w:r>
          </w:p>
        </w:tc>
        <w:tc>
          <w:tcPr>
            <w:tcW w:w="7739" w:type="dxa"/>
            <w:tcBorders>
              <w:top w:val="single" w:sz="4" w:space="0" w:color="000000"/>
              <w:left w:val="single" w:sz="4" w:space="0" w:color="000000"/>
              <w:bottom w:val="single" w:sz="4" w:space="0" w:color="000000"/>
              <w:right w:val="single" w:sz="4" w:space="0" w:color="000000"/>
            </w:tcBorders>
          </w:tcPr>
          <w:p>
            <w:pPr>
              <w:pStyle w:val="Normal"/>
              <w:jc w:val="both"/>
              <w:rPr/>
            </w:pPr>
            <w:r>
              <w:rPr/>
              <w:t>Администрация Долотинского сельского поселения Красносулинского района.</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Разработчик</w:t>
            </w:r>
          </w:p>
        </w:tc>
        <w:tc>
          <w:tcPr>
            <w:tcW w:w="7739"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Администрация Долотинского сельского поселения Красносулинского района. </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Основные цели Программы</w:t>
            </w:r>
          </w:p>
        </w:tc>
        <w:tc>
          <w:tcPr>
            <w:tcW w:w="7739" w:type="dxa"/>
            <w:tcBorders>
              <w:top w:val="single" w:sz="4" w:space="0" w:color="000000"/>
              <w:left w:val="single" w:sz="4" w:space="0" w:color="000000"/>
              <w:bottom w:val="single" w:sz="4" w:space="0" w:color="000000"/>
              <w:right w:val="single" w:sz="4" w:space="0" w:color="000000"/>
            </w:tcBorders>
          </w:tcPr>
          <w:p>
            <w:pPr>
              <w:pStyle w:val="Normal"/>
              <w:ind w:left="360"/>
              <w:jc w:val="both"/>
              <w:rPr/>
            </w:pPr>
            <w:r>
              <w:rPr/>
              <w:t xml:space="preserve">Целью </w:t>
            </w:r>
            <w:r>
              <w:rPr>
                <w:color w:val="000000"/>
                <w:spacing w:val="3"/>
              </w:rPr>
              <w:t xml:space="preserve">разработки Программы комплексного развития систем коммунальной инфраструктуры муниципального образования </w:t>
            </w:r>
            <w:r>
              <w:rPr/>
              <w:t>"Долотинское сельское поселение" Красносулинского  района, Ростовской области</w:t>
            </w:r>
            <w:r>
              <w:rPr>
                <w:color w:val="000000"/>
                <w:spacing w:val="1"/>
              </w:rPr>
              <w:t xml:space="preserve"> является повышение качества производимых для потребителей коммунальных услуг, улучшение экологической ситуации.</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Основные задачи Программы</w:t>
            </w:r>
          </w:p>
        </w:tc>
        <w:tc>
          <w:tcPr>
            <w:tcW w:w="7739" w:type="dxa"/>
            <w:tcBorders>
              <w:top w:val="single" w:sz="4" w:space="0" w:color="000000"/>
              <w:left w:val="single" w:sz="4" w:space="0" w:color="000000"/>
              <w:bottom w:val="single" w:sz="4" w:space="0" w:color="000000"/>
              <w:right w:val="single" w:sz="4" w:space="0" w:color="000000"/>
            </w:tcBorders>
          </w:tcPr>
          <w:p>
            <w:pPr>
              <w:pStyle w:val="Normal"/>
              <w:numPr>
                <w:ilvl w:val="0"/>
                <w:numId w:val="1"/>
              </w:numPr>
              <w:jc w:val="both"/>
              <w:rPr/>
            </w:pPr>
            <w:r>
              <w:rPr/>
              <w:t>Обеспечение развития жилищного в муниципальном образовании «Долотинское сельское поселение» Красносулинского района.</w:t>
            </w:r>
          </w:p>
          <w:p>
            <w:pPr>
              <w:pStyle w:val="Normal"/>
              <w:numPr>
                <w:ilvl w:val="0"/>
                <w:numId w:val="1"/>
              </w:numPr>
              <w:jc w:val="both"/>
              <w:rPr/>
            </w:pPr>
            <w:r>
              <w:rPr/>
              <w:t>Строительство и модернизация системы коммунальной инфраструктуры в муниципальном образовании «Долотинское сельское поселение» Красносулинского района.</w:t>
            </w:r>
          </w:p>
          <w:p>
            <w:pPr>
              <w:pStyle w:val="Normal"/>
              <w:numPr>
                <w:ilvl w:val="0"/>
                <w:numId w:val="1"/>
              </w:numPr>
              <w:jc w:val="both"/>
              <w:rPr/>
            </w:pPr>
            <w:r>
              <w:rPr/>
              <w:t>Повышение качества предоставляемых коммунальных услуг потребителям.</w:t>
            </w:r>
          </w:p>
          <w:p>
            <w:pPr>
              <w:pStyle w:val="Normal"/>
              <w:numPr>
                <w:ilvl w:val="0"/>
                <w:numId w:val="1"/>
              </w:numPr>
              <w:jc w:val="both"/>
              <w:rPr/>
            </w:pPr>
            <w:r>
              <w:rPr/>
              <w:t>Совершенствование механизмов развития энергосбережения и повышение энергоэффективности коммунальной инфраструктуры муниципального образования «Долотинское сельское поселение» Красносулинского района.</w:t>
            </w:r>
          </w:p>
          <w:p>
            <w:pPr>
              <w:pStyle w:val="Normal"/>
              <w:numPr>
                <w:ilvl w:val="0"/>
                <w:numId w:val="1"/>
              </w:numPr>
              <w:jc w:val="both"/>
              <w:rPr/>
            </w:pPr>
            <w:r>
              <w:rPr/>
              <w:t>Улучшение состояния окружающей среды, экологическая безопасность развития поселения, создание благоприятных условий для проживания жителей.</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Срок реализации</w:t>
            </w:r>
          </w:p>
        </w:tc>
        <w:tc>
          <w:tcPr>
            <w:tcW w:w="7739"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Период реализации Программы: 2012-2014г.г. </w:t>
            </w:r>
          </w:p>
          <w:p>
            <w:pPr>
              <w:pStyle w:val="Normal"/>
              <w:jc w:val="both"/>
              <w:rPr/>
            </w:pPr>
            <w:r>
              <w:rPr/>
              <w:t>и план до 2029 г.</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Основные направления Программы</w:t>
            </w:r>
          </w:p>
        </w:tc>
        <w:tc>
          <w:tcPr>
            <w:tcW w:w="7739" w:type="dxa"/>
            <w:tcBorders>
              <w:top w:val="single" w:sz="4" w:space="0" w:color="000000"/>
              <w:left w:val="single" w:sz="4" w:space="0" w:color="000000"/>
              <w:bottom w:val="single" w:sz="4" w:space="0" w:color="000000"/>
              <w:right w:val="single" w:sz="4" w:space="0" w:color="000000"/>
            </w:tcBorders>
          </w:tcPr>
          <w:p>
            <w:pPr>
              <w:pStyle w:val="Normal"/>
              <w:jc w:val="both"/>
              <w:rPr/>
            </w:pPr>
            <w:r>
              <w:rPr/>
              <w:t>- развитие системы теплоснабжения;</w:t>
            </w:r>
          </w:p>
          <w:p>
            <w:pPr>
              <w:pStyle w:val="Normal"/>
              <w:jc w:val="both"/>
              <w:rPr/>
            </w:pPr>
            <w:r>
              <w:rPr/>
              <w:t>-развитие системы газоснабжения;</w:t>
            </w:r>
          </w:p>
          <w:p>
            <w:pPr>
              <w:pStyle w:val="Normal"/>
              <w:jc w:val="both"/>
              <w:rPr/>
            </w:pPr>
            <w:r>
              <w:rPr/>
              <w:t>- развитие системы водоснабжения и водоотведения;</w:t>
            </w:r>
          </w:p>
          <w:p>
            <w:pPr>
              <w:pStyle w:val="Normal"/>
              <w:jc w:val="both"/>
              <w:rPr/>
            </w:pPr>
            <w:r>
              <w:rPr/>
              <w:t>- развитие системы электроснабжения</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Объемы и источники финансирования Программы</w:t>
            </w:r>
          </w:p>
        </w:tc>
        <w:tc>
          <w:tcPr>
            <w:tcW w:w="7739" w:type="dxa"/>
            <w:tcBorders>
              <w:top w:val="single" w:sz="4" w:space="0" w:color="000000"/>
              <w:left w:val="single" w:sz="4" w:space="0" w:color="000000"/>
              <w:bottom w:val="single" w:sz="4" w:space="0" w:color="000000"/>
              <w:right w:val="single" w:sz="4" w:space="0" w:color="000000"/>
            </w:tcBorders>
          </w:tcPr>
          <w:p>
            <w:pPr>
              <w:pStyle w:val="Normal"/>
              <w:jc w:val="both"/>
              <w:rPr/>
            </w:pPr>
            <w:r>
              <w:rPr/>
              <w:t>Финансирование Программы осуществляется в соответствии с утвержденными бюджетными ассигнованиями на очередной финансовый год в установленном порядке, за счет средств, областного, местного бюджетов и внебюджетных средств (средства предприятий коммунального комплекса).</w:t>
            </w:r>
          </w:p>
          <w:p>
            <w:pPr>
              <w:pStyle w:val="Normal"/>
              <w:jc w:val="both"/>
              <w:rPr>
                <w:b/>
                <w:i/>
                <w:i/>
              </w:rPr>
            </w:pPr>
            <w:r>
              <w:rPr/>
              <w:t xml:space="preserve">Общий объем финансирования программы на период </w:t>
            </w:r>
            <w:r>
              <w:rPr>
                <w:b/>
              </w:rPr>
              <w:t>2014 – 2029</w:t>
            </w:r>
            <w:r>
              <w:rPr/>
              <w:t xml:space="preserve"> г. за счет всех источников составит </w:t>
            </w:r>
            <w:r>
              <w:rPr>
                <w:b/>
                <w:i/>
              </w:rPr>
              <w:t>595220,72  тыс. руб., в т.ч.:</w:t>
            </w:r>
          </w:p>
          <w:p>
            <w:pPr>
              <w:pStyle w:val="Normal"/>
              <w:jc w:val="both"/>
              <w:rPr/>
            </w:pPr>
            <w:r>
              <w:rPr/>
              <w:t xml:space="preserve">- местный бюджет – </w:t>
            </w:r>
            <w:r>
              <w:rPr>
                <w:b/>
              </w:rPr>
              <w:t>86902,2</w:t>
            </w:r>
            <w:r>
              <w:rPr/>
              <w:t xml:space="preserve"> тыс. руб.;</w:t>
            </w:r>
          </w:p>
          <w:p>
            <w:pPr>
              <w:pStyle w:val="Normal"/>
              <w:jc w:val="both"/>
              <w:rPr/>
            </w:pPr>
            <w:r>
              <w:rPr/>
              <w:t xml:space="preserve">- областной бюджет – </w:t>
            </w:r>
            <w:r>
              <w:rPr>
                <w:b/>
              </w:rPr>
              <w:t>508318,52</w:t>
            </w:r>
            <w:r>
              <w:rPr/>
              <w:t xml:space="preserve"> тыс. руб.;</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Организация контроля</w:t>
            </w:r>
          </w:p>
        </w:tc>
        <w:tc>
          <w:tcPr>
            <w:tcW w:w="7739" w:type="dxa"/>
            <w:tcBorders>
              <w:top w:val="single" w:sz="4" w:space="0" w:color="000000"/>
              <w:left w:val="single" w:sz="4" w:space="0" w:color="000000"/>
              <w:bottom w:val="single" w:sz="4" w:space="0" w:color="000000"/>
              <w:right w:val="single" w:sz="4" w:space="0" w:color="000000"/>
            </w:tcBorders>
          </w:tcPr>
          <w:p>
            <w:pPr>
              <w:pStyle w:val="Normal"/>
              <w:jc w:val="both"/>
              <w:rPr/>
            </w:pPr>
            <w:r>
              <w:rPr/>
              <w:t xml:space="preserve">Контроль </w:t>
            </w:r>
            <w:r>
              <w:rPr>
                <w:color w:val="000000"/>
                <w:spacing w:val="3"/>
              </w:rPr>
              <w:t xml:space="preserve">за исполнением Программы </w:t>
            </w:r>
            <w:r>
              <w:rPr/>
              <w:t xml:space="preserve">осуществляет Администрация Долотинского сельского поселения Красносулинского района </w:t>
            </w:r>
            <w:r>
              <w:rPr>
                <w:color w:val="000000"/>
                <w:spacing w:val="3"/>
              </w:rPr>
              <w:t>в пределах своих полномочий в соответствии с законодательством.</w:t>
            </w:r>
          </w:p>
        </w:tc>
      </w:tr>
      <w:tr>
        <w:trPr/>
        <w:tc>
          <w:tcPr>
            <w:tcW w:w="2448" w:type="dxa"/>
            <w:tcBorders>
              <w:top w:val="single" w:sz="4" w:space="0" w:color="000000"/>
              <w:left w:val="single" w:sz="4" w:space="0" w:color="000000"/>
              <w:bottom w:val="single" w:sz="4" w:space="0" w:color="000000"/>
              <w:right w:val="single" w:sz="4" w:space="0" w:color="000000"/>
            </w:tcBorders>
          </w:tcPr>
          <w:p>
            <w:pPr>
              <w:pStyle w:val="Normal"/>
              <w:jc w:val="both"/>
              <w:rPr/>
            </w:pPr>
            <w:r>
              <w:rPr/>
              <w:t>Ожидаемые результаты</w:t>
            </w:r>
          </w:p>
        </w:tc>
        <w:tc>
          <w:tcPr>
            <w:tcW w:w="7739" w:type="dxa"/>
            <w:tcBorders>
              <w:top w:val="single" w:sz="4" w:space="0" w:color="000000"/>
              <w:left w:val="single" w:sz="4" w:space="0" w:color="000000"/>
              <w:bottom w:val="single" w:sz="4" w:space="0" w:color="000000"/>
              <w:right w:val="single" w:sz="4" w:space="0" w:color="000000"/>
            </w:tcBorders>
          </w:tcPr>
          <w:p>
            <w:pPr>
              <w:pStyle w:val="Normal"/>
              <w:shd w:val="clear" w:color="auto" w:fill="FFFFFF"/>
              <w:tabs>
                <w:tab w:val="clear" w:pos="708"/>
                <w:tab w:val="left" w:pos="514" w:leader="none"/>
              </w:tabs>
              <w:rPr>
                <w:b/>
                <w:spacing w:val="3"/>
              </w:rPr>
            </w:pPr>
            <w:r>
              <w:rPr>
                <w:b/>
                <w:spacing w:val="3"/>
              </w:rPr>
              <w:t>1. Технологические результаты:</w:t>
            </w:r>
          </w:p>
          <w:p>
            <w:pPr>
              <w:pStyle w:val="Normal"/>
              <w:shd w:val="clear" w:color="auto" w:fill="FFFFFF"/>
              <w:ind w:hanging="252" w:left="252"/>
              <w:rPr/>
            </w:pPr>
            <w:r>
              <w:rPr/>
              <w:t xml:space="preserve">–  </w:t>
            </w:r>
            <w:r>
              <w:rPr/>
              <w:t>обеспечение устойчивости системы коммунальной инфраструктуры поселения;</w:t>
            </w:r>
          </w:p>
          <w:p>
            <w:pPr>
              <w:pStyle w:val="Normal"/>
              <w:shd w:val="clear" w:color="auto" w:fill="FFFFFF"/>
              <w:ind w:hanging="252" w:left="252"/>
              <w:rPr/>
            </w:pPr>
            <w:r>
              <w:rPr/>
              <w:t xml:space="preserve">–  </w:t>
            </w:r>
            <w:r>
              <w:rPr/>
              <w:t>снижение уровня износа объектов коммунальной инфраструктуры;</w:t>
            </w:r>
          </w:p>
          <w:p>
            <w:pPr>
              <w:pStyle w:val="Normal"/>
              <w:shd w:val="clear" w:color="auto" w:fill="FFFFFF"/>
              <w:ind w:hanging="252" w:left="252"/>
              <w:rPr/>
            </w:pPr>
            <w:r>
              <w:rPr/>
              <w:t xml:space="preserve">– </w:t>
            </w:r>
            <w:r>
              <w:rPr/>
              <w:t>создание надежной коммунальной инфраструктуры поселения, имеющей необходимые резервы для перспективного развития;</w:t>
            </w:r>
          </w:p>
          <w:p>
            <w:pPr>
              <w:pStyle w:val="Normal"/>
              <w:shd w:val="clear" w:color="auto" w:fill="FFFFFF"/>
              <w:ind w:hanging="252" w:left="252"/>
              <w:rPr>
                <w:color w:val="000000"/>
                <w:spacing w:val="3"/>
              </w:rPr>
            </w:pPr>
            <w:r>
              <w:rPr>
                <w:color w:val="000000"/>
                <w:spacing w:val="3"/>
              </w:rPr>
              <w:t xml:space="preserve">– </w:t>
            </w:r>
            <w:r>
              <w:rPr>
                <w:color w:val="000000"/>
                <w:spacing w:val="3"/>
              </w:rPr>
              <w:t>оптимизация управления электроснабжением поселения;</w:t>
            </w:r>
          </w:p>
          <w:p>
            <w:pPr>
              <w:pStyle w:val="Normal"/>
              <w:shd w:val="clear" w:color="auto" w:fill="FFFFFF"/>
              <w:ind w:hanging="252" w:left="252"/>
              <w:rPr>
                <w:color w:val="000000"/>
                <w:spacing w:val="3"/>
              </w:rPr>
            </w:pPr>
            <w:r>
              <w:rPr>
                <w:color w:val="000000"/>
                <w:spacing w:val="3"/>
              </w:rPr>
              <w:t xml:space="preserve">– </w:t>
            </w:r>
            <w:r>
              <w:rPr>
                <w:color w:val="000000"/>
                <w:spacing w:val="3"/>
              </w:rPr>
              <w:t>внедрение энергосберегающих технологий;</w:t>
            </w:r>
          </w:p>
          <w:p>
            <w:pPr>
              <w:pStyle w:val="Normal"/>
              <w:shd w:val="clear" w:color="auto" w:fill="FFFFFF"/>
              <w:ind w:hanging="252" w:left="252"/>
              <w:rPr>
                <w:color w:val="000000"/>
                <w:spacing w:val="3"/>
              </w:rPr>
            </w:pPr>
            <w:r>
              <w:rPr>
                <w:color w:val="000000"/>
                <w:spacing w:val="3"/>
              </w:rPr>
              <w:t xml:space="preserve">– </w:t>
            </w:r>
            <w:r>
              <w:rPr>
                <w:color w:val="000000"/>
                <w:spacing w:val="3"/>
              </w:rPr>
              <w:t>снижение удельного расхода электроэнергии для выработки энергоресурсов;</w:t>
            </w:r>
          </w:p>
          <w:p>
            <w:pPr>
              <w:pStyle w:val="Normal"/>
              <w:shd w:val="clear" w:color="auto" w:fill="FFFFFF"/>
              <w:ind w:hanging="252" w:left="252"/>
              <w:rPr>
                <w:color w:val="000000"/>
                <w:spacing w:val="3"/>
              </w:rPr>
            </w:pPr>
            <w:r>
              <w:rPr>
                <w:color w:val="000000"/>
                <w:spacing w:val="3"/>
              </w:rPr>
              <w:t xml:space="preserve">– </w:t>
            </w:r>
            <w:r>
              <w:rPr>
                <w:color w:val="000000"/>
                <w:spacing w:val="3"/>
              </w:rPr>
              <w:t>снижение потерь коммунальных ресурсов:</w:t>
            </w:r>
          </w:p>
          <w:p>
            <w:pPr>
              <w:pStyle w:val="Normal"/>
              <w:shd w:val="clear" w:color="auto" w:fill="FFFFFF"/>
              <w:tabs>
                <w:tab w:val="clear" w:pos="708"/>
                <w:tab w:val="left" w:pos="514" w:leader="none"/>
              </w:tabs>
              <w:rPr>
                <w:b/>
                <w:color w:val="000000"/>
                <w:spacing w:val="3"/>
              </w:rPr>
            </w:pPr>
            <w:r>
              <w:rPr>
                <w:b/>
                <w:color w:val="000000"/>
                <w:spacing w:val="3"/>
              </w:rPr>
              <w:t>2. Социальные результаты:</w:t>
            </w:r>
          </w:p>
          <w:p>
            <w:pPr>
              <w:pStyle w:val="Normal"/>
              <w:jc w:val="both"/>
              <w:rPr/>
            </w:pPr>
            <w:r>
              <w:rPr>
                <w:spacing w:val="3"/>
              </w:rPr>
              <w:t>–</w:t>
            </w:r>
            <w:r>
              <w:rPr/>
              <w:t>повышение качества коммунальных услуг;</w:t>
            </w:r>
          </w:p>
          <w:p>
            <w:pPr>
              <w:pStyle w:val="Normal"/>
              <w:jc w:val="both"/>
              <w:rPr/>
            </w:pPr>
            <w:r>
              <w:rPr/>
              <w:t>-повышение надёжности работы системы коммунальной инфраструктуры поселения;</w:t>
            </w:r>
          </w:p>
          <w:p>
            <w:pPr>
              <w:pStyle w:val="Normal"/>
              <w:shd w:val="clear" w:color="auto" w:fill="FFFFFF"/>
              <w:tabs>
                <w:tab w:val="clear" w:pos="708"/>
                <w:tab w:val="left" w:pos="514" w:leader="none"/>
              </w:tabs>
              <w:rPr>
                <w:spacing w:val="3"/>
              </w:rPr>
            </w:pPr>
            <w:r>
              <w:rPr>
                <w:b/>
                <w:spacing w:val="3"/>
              </w:rPr>
              <w:t>3.  Экономические результаты:</w:t>
            </w:r>
          </w:p>
          <w:p>
            <w:pPr>
              <w:pStyle w:val="Normal"/>
              <w:shd w:val="clear" w:color="auto" w:fill="FFFFFF"/>
              <w:ind w:hanging="252" w:left="252"/>
              <w:rPr>
                <w:spacing w:val="3"/>
              </w:rPr>
            </w:pPr>
            <w:r>
              <w:rPr>
                <w:spacing w:val="3"/>
              </w:rPr>
              <w:t xml:space="preserve">– </w:t>
            </w:r>
            <w:r>
              <w:rPr>
                <w:spacing w:val="3"/>
              </w:rPr>
              <w:t>плановое развитие коммунальной инфраструктуры в соответствии с документами территориального планирования развития поселения;</w:t>
            </w:r>
          </w:p>
          <w:p>
            <w:pPr>
              <w:pStyle w:val="Normal"/>
              <w:jc w:val="both"/>
              <w:rPr/>
            </w:pPr>
            <w:r>
              <w:rPr>
                <w:spacing w:val="3"/>
              </w:rPr>
              <w:t xml:space="preserve">– </w:t>
            </w:r>
            <w:r>
              <w:rPr>
                <w:spacing w:val="3"/>
              </w:rPr>
              <w:t>повышение инвестиционной привлекательности организаций коммунального комплекса поселения.</w:t>
            </w:r>
          </w:p>
        </w:tc>
      </w:tr>
    </w:tbl>
    <w:p>
      <w:pPr>
        <w:pStyle w:val="Normal"/>
        <w:tabs>
          <w:tab w:val="clear" w:pos="708"/>
          <w:tab w:val="left" w:pos="1080" w:leader="none"/>
        </w:tabs>
        <w:suppressAutoHyphens w:val="true"/>
        <w:ind w:firstLine="720"/>
        <w:jc w:val="both"/>
        <w:rPr/>
      </w:pPr>
      <w:r>
        <w:rPr/>
        <w:t xml:space="preserve">В ходе разработки программы по каждому направлению были разработаны мероприятия поэтапной модернизации сетей коммунальной инфраструктуры, имеющих большой процент износа; в соответствии с разработанной ранее проектно-сметной документацией определены  объемы модернизации и  нового строительства,  определен  необходимый объем финансовых средств, общая сумма которого составляет    </w:t>
      </w:r>
      <w:r>
        <w:rPr>
          <w:b/>
        </w:rPr>
        <w:t xml:space="preserve">332211,17 тыс. руб.  </w:t>
      </w:r>
      <w:r>
        <w:rPr/>
        <w:t>в том числе:</w:t>
      </w:r>
    </w:p>
    <w:p>
      <w:pPr>
        <w:pStyle w:val="Normal"/>
        <w:tabs>
          <w:tab w:val="clear" w:pos="708"/>
          <w:tab w:val="left" w:pos="1080" w:leader="none"/>
        </w:tabs>
        <w:suppressAutoHyphens w:val="true"/>
        <w:ind w:firstLine="720"/>
        <w:jc w:val="both"/>
        <w:rPr>
          <w:b/>
          <w:i/>
          <w:i/>
        </w:rPr>
      </w:pPr>
      <w:r>
        <w:rPr/>
        <w:t xml:space="preserve">Потребность финансовых ресурсов необходимых для реализации развития систем коммунальной инфраструктуры Долотинского сельского поселения на период с 2012 до 2014гг. составляет </w:t>
      </w:r>
      <w:r>
        <w:rPr>
          <w:b/>
          <w:i/>
        </w:rPr>
        <w:t>38767,5  тыс. руб.;</w:t>
      </w:r>
    </w:p>
    <w:p>
      <w:pPr>
        <w:pStyle w:val="Normal"/>
        <w:tabs>
          <w:tab w:val="clear" w:pos="708"/>
          <w:tab w:val="left" w:pos="1080" w:leader="none"/>
        </w:tabs>
        <w:suppressAutoHyphens w:val="true"/>
        <w:ind w:firstLine="720"/>
        <w:jc w:val="both"/>
        <w:rPr>
          <w:b/>
          <w:i/>
          <w:i/>
        </w:rPr>
      </w:pPr>
      <w:r>
        <w:rPr/>
        <w:t xml:space="preserve">В перспективе развития в соответствии с потребностями жилищного и промышленного строительства, предусмотренными Генеральным планом Долотинского сельского поселения, объем финансирования развития системы инженерной инфраструктуры поселения до 2029г  -  </w:t>
      </w:r>
      <w:r>
        <w:rPr>
          <w:b/>
        </w:rPr>
        <w:t xml:space="preserve">293443,67 </w:t>
      </w:r>
      <w:r>
        <w:rPr/>
        <w:t>тыс. руб.</w:t>
      </w:r>
    </w:p>
    <w:p>
      <w:pPr>
        <w:pStyle w:val="Normal"/>
        <w:ind w:firstLine="708"/>
        <w:jc w:val="both"/>
        <w:rPr>
          <w:b/>
        </w:rPr>
      </w:pPr>
      <w:bookmarkStart w:id="0" w:name="_Toc242585642"/>
      <w:bookmarkStart w:id="1" w:name="_Toc217127857"/>
      <w:r>
        <w:rPr>
          <w:b/>
        </w:rPr>
        <w:t>Раздел 2. Характеристика существующего состояния коммунальной инфраструктуры*.</w:t>
      </w:r>
    </w:p>
    <w:p>
      <w:pPr>
        <w:pStyle w:val="Normal"/>
        <w:ind w:firstLine="708"/>
        <w:jc w:val="both"/>
        <w:rPr>
          <w:b/>
        </w:rPr>
      </w:pPr>
      <w:bookmarkStart w:id="2" w:name="_Toc242585642"/>
      <w:bookmarkStart w:id="3" w:name="_Toc217127857"/>
      <w:r>
        <w:rPr>
          <w:b/>
        </w:rPr>
        <w:t>2.1 Теплоснабжение.</w:t>
      </w:r>
      <w:bookmarkEnd w:id="2"/>
      <w:bookmarkEnd w:id="3"/>
    </w:p>
    <w:p>
      <w:pPr>
        <w:pStyle w:val="Normal"/>
        <w:ind w:firstLine="708" w:right="565"/>
        <w:jc w:val="both"/>
        <w:rPr/>
      </w:pPr>
      <w:r>
        <w:rPr>
          <w:b/>
        </w:rPr>
        <w:t>Пос. Первомайский</w:t>
      </w:r>
      <w:r>
        <w:rPr/>
        <w:t xml:space="preserve">  -  центральная система  </w:t>
      </w:r>
    </w:p>
    <w:p>
      <w:pPr>
        <w:pStyle w:val="Normal"/>
        <w:ind w:firstLine="708" w:right="565"/>
        <w:jc w:val="both"/>
        <w:rPr/>
      </w:pPr>
      <w:r>
        <w:rPr/>
        <w:t xml:space="preserve">На территории пос. Первомайский находятся 19 многоквартирных домов (4 трехэтажных и 15 двухэтажных. Подачу тепла осуществляться двумя подвальными котельными: №10 и №11 </w:t>
      </w:r>
    </w:p>
    <w:p>
      <w:pPr>
        <w:pStyle w:val="Normal"/>
        <w:ind w:firstLine="708" w:right="565"/>
        <w:jc w:val="both"/>
        <w:rPr/>
      </w:pPr>
      <w:r>
        <w:rPr/>
        <w:t xml:space="preserve">Котельная №10 расположенная по адресу: пос.Первомайский ул. Ленина д.42 - обеспечивает теплоснабжением – 8 домов, а именно д.42,44,46,48,52,54,56,58 по ул.Ленина.  </w:t>
      </w:r>
    </w:p>
    <w:p>
      <w:pPr>
        <w:pStyle w:val="Normal"/>
        <w:tabs>
          <w:tab w:val="clear" w:pos="708"/>
          <w:tab w:val="left" w:pos="993" w:leader="none"/>
        </w:tabs>
        <w:ind w:firstLine="708" w:right="565"/>
        <w:jc w:val="both"/>
        <w:rPr/>
      </w:pPr>
      <w:r>
        <w:rPr/>
        <w:t xml:space="preserve">Котельная №11 расположенная по адресу: пос.Первомайский ул. Карла Маркса д.38 обеспечивает теплоснабжением - 43,47, 49,51 по ул.Ленина и д.40,44 по ул. Карла Маркса, а так же детский садик «Белоснежка».  </w:t>
      </w:r>
    </w:p>
    <w:p>
      <w:pPr>
        <w:pStyle w:val="Normal"/>
        <w:tabs>
          <w:tab w:val="clear" w:pos="708"/>
          <w:tab w:val="left" w:pos="993" w:leader="none"/>
        </w:tabs>
        <w:ind w:firstLine="708" w:right="565"/>
        <w:jc w:val="both"/>
        <w:rPr/>
      </w:pPr>
      <w:r>
        <w:rPr/>
        <w:t xml:space="preserve">В 2009-2010 гг.  были проведены  работы  по выборочному капитальному ремонту теплосети, объем финансирования 2572,66 тыс. руб.  </w:t>
      </w:r>
    </w:p>
    <w:p>
      <w:pPr>
        <w:pStyle w:val="Normal"/>
        <w:ind w:firstLine="540"/>
        <w:rPr/>
      </w:pPr>
      <w:r>
        <w:rPr/>
        <w:t>В п. Первомайский предусматривается реконструкция централизованной системы теплоснабжения в.</w:t>
      </w:r>
    </w:p>
    <w:p>
      <w:pPr>
        <w:pStyle w:val="Normal"/>
        <w:tabs>
          <w:tab w:val="clear" w:pos="708"/>
          <w:tab w:val="left" w:pos="993" w:leader="none"/>
        </w:tabs>
        <w:ind w:firstLine="708" w:right="565"/>
        <w:jc w:val="both"/>
        <w:rPr/>
      </w:pPr>
      <w:r>
        <w:rPr/>
        <w:t>Намечается перевод существующих котельных на газовое топливо, их модернизация.</w:t>
      </w:r>
    </w:p>
    <w:p>
      <w:pPr>
        <w:pStyle w:val="Normal"/>
        <w:rPr>
          <w:b/>
        </w:rPr>
      </w:pPr>
      <w:r>
        <w:rPr>
          <w:b/>
        </w:rPr>
        <w:t>Хутор Долотинка</w:t>
      </w:r>
    </w:p>
    <w:p>
      <w:pPr>
        <w:pStyle w:val="Normal"/>
        <w:ind w:firstLine="708"/>
        <w:jc w:val="both"/>
        <w:rPr/>
      </w:pPr>
      <w:r>
        <w:rPr/>
        <w:t>В настоящее время в хуторе Долотинка  - печное отопление.</w:t>
      </w:r>
    </w:p>
    <w:p>
      <w:pPr>
        <w:pStyle w:val="Normal"/>
        <w:rPr>
          <w:b/>
          <w:i/>
          <w:i/>
        </w:rPr>
      </w:pPr>
      <w:r>
        <w:rPr>
          <w:b/>
          <w:i/>
        </w:rPr>
        <w:t>Хутор Водин</w:t>
      </w:r>
    </w:p>
    <w:p>
      <w:pPr>
        <w:pStyle w:val="Normal"/>
        <w:ind w:firstLine="708"/>
        <w:jc w:val="both"/>
        <w:rPr/>
      </w:pPr>
      <w:r>
        <w:rPr/>
        <w:t>В хуторе Водин   - печное отопление</w:t>
      </w:r>
    </w:p>
    <w:p>
      <w:pPr>
        <w:pStyle w:val="Normal"/>
        <w:jc w:val="both"/>
        <w:rPr>
          <w:b/>
        </w:rPr>
      </w:pPr>
      <w:r>
        <w:rPr>
          <w:b/>
        </w:rPr>
        <w:t>Хутор Большое Зверево</w:t>
      </w:r>
    </w:p>
    <w:p>
      <w:pPr>
        <w:pStyle w:val="Normal"/>
        <w:jc w:val="both"/>
        <w:rPr/>
      </w:pPr>
      <w:r>
        <w:rPr>
          <w:b/>
        </w:rPr>
        <w:t xml:space="preserve">          </w:t>
      </w:r>
      <w:r>
        <w:rPr/>
        <w:t>В хуторе Водин   - печное отопление</w:t>
      </w:r>
    </w:p>
    <w:p>
      <w:pPr>
        <w:pStyle w:val="Normal"/>
        <w:jc w:val="both"/>
        <w:rPr>
          <w:b/>
        </w:rPr>
      </w:pPr>
      <w:r>
        <w:rPr>
          <w:b/>
        </w:rPr>
        <w:t xml:space="preserve">Хутор Молаканский  -  </w:t>
      </w:r>
      <w:r>
        <w:rPr/>
        <w:t>индивидуальное газовое и печное отопление</w:t>
      </w:r>
      <w:r>
        <w:rPr>
          <w:b/>
        </w:rPr>
        <w:t xml:space="preserve"> </w:t>
      </w:r>
    </w:p>
    <w:p>
      <w:pPr>
        <w:pStyle w:val="Normal"/>
        <w:jc w:val="both"/>
        <w:rPr/>
      </w:pPr>
      <w:r>
        <w:rPr/>
        <w:t xml:space="preserve"> </w:t>
      </w:r>
    </w:p>
    <w:p>
      <w:pPr>
        <w:pStyle w:val="Normal"/>
        <w:jc w:val="both"/>
        <w:rPr>
          <w:b/>
        </w:rPr>
      </w:pPr>
      <w:r>
        <w:rPr>
          <w:b/>
        </w:rPr>
      </w:r>
    </w:p>
    <w:p>
      <w:pPr>
        <w:pStyle w:val="Normal"/>
        <w:ind w:firstLine="540"/>
        <w:jc w:val="both"/>
        <w:rPr/>
      </w:pPr>
      <w:r>
        <w:rPr>
          <w:b/>
        </w:rPr>
        <w:t>2.2. Газоснабжение.</w:t>
      </w:r>
      <w:r>
        <w:rPr/>
        <w:t xml:space="preserve"> В настоящее время газоснабжение природным газом подведено к х. Молаканский. Газопроводы среднего давления в 2010 г подведены к хутору; также газифицированы птицефабрика, СПК «Россия».</w:t>
      </w:r>
    </w:p>
    <w:p>
      <w:pPr>
        <w:pStyle w:val="Normal"/>
        <w:jc w:val="both"/>
        <w:rPr/>
      </w:pPr>
      <w:r>
        <w:rPr/>
        <w:t>Природный газ подается на отопление домов, горячее водоснабжение, на хозяйственно- бытовые нужды населения, на нужды сельскохозяйственного производства. Газоснабжение жилых домов осуществляется от газопроводов низкого давления. Часть населения, проживающего в одноэтажной застройке, пользуется для приготовления пищи сжиженным газом от индивидуальных газобаллонных установок. Степень газификации поселения 80%</w:t>
      </w:r>
    </w:p>
    <w:p>
      <w:pPr>
        <w:pStyle w:val="Normal"/>
        <w:rPr>
          <w:b/>
        </w:rPr>
      </w:pPr>
      <w:r>
        <w:rPr>
          <w:b/>
        </w:rPr>
        <w:t>2.3. Существующее водоснабжение населенных пунктов.</w:t>
      </w:r>
    </w:p>
    <w:p>
      <w:pPr>
        <w:pStyle w:val="Normal"/>
        <w:jc w:val="both"/>
        <w:rPr/>
      </w:pPr>
      <w:r>
        <w:rPr/>
        <w:t xml:space="preserve">Подача воды  в населенные пункты поселения осуществлялась с  центрально-магистрального подающего Гуково-Гундоровского водовода, который  является главным источником централизованного водоснабжения всего населения,  а  населенный  пункт п. Первомайский это  конечное звено в  указанной  цепи № 1  водоподъемника № 4. Система  Гуково – Гундоровского водопровода представляет  собой единый технологический комплекс , который включает в себя 2 водозабора подземных вод с 39-ю артезианскими скважинами, 6 подъемов, магистральные водоводы Д = 300-1000 мм -175,5 км и сооружения на них. </w:t>
      </w:r>
    </w:p>
    <w:p>
      <w:pPr>
        <w:pStyle w:val="Normal"/>
        <w:ind w:right="566"/>
        <w:jc w:val="both"/>
        <w:rPr/>
      </w:pPr>
      <w:r>
        <w:rPr/>
        <w:t xml:space="preserve">Эксплуатация насосных станций оборудования ВКХ составляет  от  15 до 50 лет. Степень износа магистральных и разводящих водопроводных сетей составляет 75-85 %, а на отдельных участках – 100 %. Износ строительной части сооружений водопроводного хозяйства - 85-90 %, оборудования – 90 %. </w:t>
      </w:r>
    </w:p>
    <w:p>
      <w:pPr>
        <w:pStyle w:val="Normal"/>
        <w:ind w:right="566"/>
        <w:jc w:val="both"/>
        <w:rPr/>
      </w:pPr>
      <w:r>
        <w:rPr/>
      </w:r>
    </w:p>
    <w:p>
      <w:pPr>
        <w:pStyle w:val="Normal"/>
        <w:ind w:right="566"/>
        <w:jc w:val="center"/>
        <w:rPr>
          <w:b/>
        </w:rPr>
      </w:pPr>
      <w:r>
        <w:rPr>
          <w:b/>
        </w:rPr>
        <w:t>х. Молаканский</w:t>
      </w:r>
    </w:p>
    <w:p>
      <w:pPr>
        <w:pStyle w:val="Normal"/>
        <w:ind w:right="566"/>
        <w:jc w:val="center"/>
        <w:rPr>
          <w:b/>
        </w:rPr>
      </w:pPr>
      <w:r>
        <w:rPr>
          <w:b/>
        </w:rPr>
      </w:r>
    </w:p>
    <w:p>
      <w:pPr>
        <w:pStyle w:val="Normal"/>
        <w:ind w:right="566"/>
        <w:rPr/>
      </w:pPr>
      <w:r>
        <w:rPr/>
        <w:t xml:space="preserve">Водоснабжение х. Молаканский осуществляется по  водоводу  Ø 300 мм и протяжённостью  1,0 км разводящих сетей Ø  76 мм. 63 мм,40 мм протяженностью 7,522 км </w:t>
      </w:r>
    </w:p>
    <w:p>
      <w:pPr>
        <w:pStyle w:val="Normal"/>
        <w:jc w:val="both"/>
        <w:rPr/>
      </w:pPr>
      <w:r>
        <w:rPr/>
        <w:t>водоотведение производится в существующие выгребные ямы, с последующим вывозом в места, отведенные органами санитарного надзора.</w:t>
      </w:r>
    </w:p>
    <w:p>
      <w:pPr>
        <w:pStyle w:val="Normal"/>
        <w:ind w:right="566"/>
        <w:rPr>
          <w:b/>
        </w:rPr>
      </w:pPr>
      <w:r>
        <w:rPr>
          <w:b/>
        </w:rPr>
      </w:r>
    </w:p>
    <w:p>
      <w:pPr>
        <w:pStyle w:val="Normal"/>
        <w:ind w:right="566"/>
        <w:jc w:val="center"/>
        <w:rPr>
          <w:b/>
        </w:rPr>
      </w:pPr>
      <w:r>
        <w:rPr>
          <w:b/>
        </w:rPr>
        <w:t>х. Долотинка, х. Большое Зверево</w:t>
      </w:r>
    </w:p>
    <w:p>
      <w:pPr>
        <w:pStyle w:val="Normal"/>
        <w:ind w:right="566"/>
        <w:jc w:val="center"/>
        <w:rPr>
          <w:b/>
        </w:rPr>
      </w:pPr>
      <w:r>
        <w:rPr>
          <w:b/>
        </w:rPr>
      </w:r>
    </w:p>
    <w:p>
      <w:pPr>
        <w:pStyle w:val="Normal"/>
        <w:ind w:firstLine="708"/>
        <w:jc w:val="both"/>
        <w:rPr/>
      </w:pPr>
      <w:r>
        <w:rPr/>
        <w:t>В настоящее время индивидуальные жилые дома  х. Долотинка, х.Большое Зверево  снабжается водой от индивидуальных колодцев, а водоотведение осуществляется в существующие выгребные ямы, с последующим вывозом в места, отведенные органами санитарного надзора.</w:t>
      </w:r>
    </w:p>
    <w:p>
      <w:pPr>
        <w:pStyle w:val="Normal"/>
        <w:ind w:firstLine="708"/>
        <w:rPr>
          <w:b/>
        </w:rPr>
      </w:pPr>
      <w:r>
        <w:rPr>
          <w:b/>
        </w:rPr>
        <w:t xml:space="preserve">                                              </w:t>
      </w:r>
      <w:r>
        <w:rPr>
          <w:b/>
        </w:rPr>
        <w:t>х. Водин</w:t>
      </w:r>
    </w:p>
    <w:p>
      <w:pPr>
        <w:pStyle w:val="Normal"/>
        <w:ind w:right="566"/>
        <w:rPr/>
      </w:pPr>
      <w:r>
        <w:rPr/>
        <w:t xml:space="preserve">Водоснабжение х. Водин  осуществляется по  водоводу  Ø 150 мм и протяжённостью  1,0 км разводящих сетей Ø  76 мм. протяженностью 1,0 км </w:t>
      </w:r>
    </w:p>
    <w:p>
      <w:pPr>
        <w:pStyle w:val="Normal"/>
        <w:ind w:right="566"/>
        <w:jc w:val="center"/>
        <w:rPr>
          <w:b/>
        </w:rPr>
      </w:pPr>
      <w:r>
        <w:rPr>
          <w:b/>
        </w:rPr>
        <w:t>пос. Первомайский</w:t>
      </w:r>
    </w:p>
    <w:p>
      <w:pPr>
        <w:pStyle w:val="Normal"/>
        <w:ind w:right="566"/>
        <w:rPr/>
      </w:pPr>
      <w:r>
        <w:rPr/>
        <w:t>Водопроводные сети пос. Первомайский представляет собой систему уличных водоводов  состоящих из стальных и чугунных труб Ø 150, 70, 50, 20 мм. протяженностью 8,2 км забор воды жителями осуществляется из уличных колонок ( 7 шт.) водоотведения нет.</w:t>
      </w:r>
    </w:p>
    <w:p>
      <w:pPr>
        <w:pStyle w:val="Normal"/>
        <w:ind w:firstLine="709"/>
        <w:jc w:val="both"/>
        <w:rPr>
          <w:b/>
        </w:rPr>
      </w:pPr>
      <w:r>
        <w:rPr>
          <w:b/>
        </w:rPr>
        <w:t>2.5.  Электроснабжение на территории Долотинского сельского  поселения.</w:t>
      </w:r>
    </w:p>
    <w:p>
      <w:pPr>
        <w:pStyle w:val="Normal"/>
        <w:ind w:firstLine="540"/>
        <w:jc w:val="both"/>
        <w:rPr/>
      </w:pPr>
      <w:r>
        <w:rPr/>
        <w:t>Потребителями электроэнергии сельского поселения являются коммунально-бытовые потребители.</w:t>
      </w:r>
    </w:p>
    <w:p>
      <w:pPr>
        <w:pStyle w:val="Normal"/>
        <w:ind w:firstLine="540"/>
        <w:jc w:val="both"/>
        <w:rPr/>
      </w:pPr>
      <w:r>
        <w:rPr/>
        <w:t>Электроснабжение поселения осуществляется от сетей Ростовской энергосистемы и генерирующих источников электроснабжения.</w:t>
      </w:r>
    </w:p>
    <w:p>
      <w:pPr>
        <w:pStyle w:val="Normal"/>
        <w:ind w:firstLine="540"/>
        <w:jc w:val="both"/>
        <w:rPr/>
      </w:pPr>
      <w:r>
        <w:rPr/>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pPr>
        <w:pStyle w:val="Normal"/>
        <w:ind w:firstLine="540"/>
        <w:jc w:val="both"/>
        <w:rPr/>
      </w:pPr>
      <w:r>
        <w:rPr/>
        <w:t>Центром питания сети напряжением 330, 220, 110 кВ Красносулинского района является Экспериментальная ТЭС (связанная высоковольтными линиями с Ростовской энергосистемой, в т.ч. с Новочеркасской ГРЭС, подстанцией Ш-30, подстанцией Б-10).</w:t>
      </w:r>
    </w:p>
    <w:p>
      <w:pPr>
        <w:pStyle w:val="Normal"/>
        <w:ind w:firstLine="540"/>
        <w:jc w:val="both"/>
        <w:rPr/>
      </w:pPr>
      <w:r>
        <w:rPr/>
        <w:t>На территории населенных пунктов расположены ТП, от которых производится снабжение потребителей застройки.</w:t>
      </w:r>
    </w:p>
    <w:p>
      <w:pPr>
        <w:pStyle w:val="Normal"/>
        <w:ind w:firstLine="540"/>
        <w:jc w:val="both"/>
        <w:rPr/>
      </w:pPr>
      <w:r>
        <w:rPr/>
        <w:t>Электропотребление поселения в 2010 г составило 674,1тыс. кВт.ч.</w:t>
      </w:r>
    </w:p>
    <w:p>
      <w:pPr>
        <w:pStyle w:val="Normal"/>
        <w:ind w:right="566"/>
        <w:jc w:val="center"/>
        <w:rPr>
          <w:b/>
        </w:rPr>
      </w:pPr>
      <w:r>
        <w:rPr>
          <w:b/>
        </w:rPr>
        <w:t>Связь</w:t>
      </w:r>
    </w:p>
    <w:p>
      <w:pPr>
        <w:pStyle w:val="Normal"/>
        <w:shd w:val="clear" w:color="auto" w:fill="FFFFFF"/>
        <w:ind w:firstLine="709"/>
        <w:jc w:val="both"/>
        <w:rPr/>
      </w:pPr>
      <w:r>
        <w:rPr/>
        <w:t xml:space="preserve">Услуги связи в поселении предоставляются почтовыми отделениями ФГУП «Почта России» </w:t>
      </w:r>
    </w:p>
    <w:p>
      <w:pPr>
        <w:pStyle w:val="Normal"/>
        <w:shd w:val="clear" w:color="auto" w:fill="FFFFFF"/>
        <w:ind w:firstLine="709"/>
        <w:jc w:val="both"/>
        <w:rPr/>
      </w:pPr>
      <w:r>
        <w:rPr/>
        <w:t>Список отделений почтовой связи Долотинского сельского поселения городского поселения представлен в таблице 5.5.2.</w:t>
      </w:r>
    </w:p>
    <w:p>
      <w:pPr>
        <w:pStyle w:val="BodyText"/>
        <w:spacing w:before="0" w:after="0"/>
        <w:jc w:val="right"/>
        <w:rPr/>
      </w:pPr>
      <w:r>
        <w:rPr/>
        <w:t>Таблица 5.5.2.</w:t>
      </w:r>
    </w:p>
    <w:tbl>
      <w:tblPr>
        <w:tblW w:w="4850" w:type="pct"/>
        <w:jc w:val="left"/>
        <w:tblInd w:w="235" w:type="dxa"/>
        <w:tblLayout w:type="fixed"/>
        <w:tblCellMar>
          <w:top w:w="55" w:type="dxa"/>
          <w:left w:w="55" w:type="dxa"/>
          <w:bottom w:w="55" w:type="dxa"/>
          <w:right w:w="55" w:type="dxa"/>
        </w:tblCellMar>
        <w:tblLook w:firstRow="0" w:noVBand="0" w:lastRow="0" w:firstColumn="0" w:lastColumn="0" w:noHBand="0" w:val="0000"/>
      </w:tblPr>
      <w:tblGrid>
        <w:gridCol w:w="785"/>
        <w:gridCol w:w="8837"/>
      </w:tblGrid>
      <w:tr>
        <w:trPr>
          <w:trHeight w:val="188" w:hRule="atLeast"/>
        </w:trPr>
        <w:tc>
          <w:tcPr>
            <w:tcW w:w="9622" w:type="dxa"/>
            <w:gridSpan w:val="2"/>
            <w:tcBorders>
              <w:top w:val="single" w:sz="4" w:space="0" w:color="000000"/>
              <w:left w:val="single" w:sz="4" w:space="0" w:color="000000"/>
              <w:bottom w:val="single" w:sz="4" w:space="0" w:color="000000"/>
              <w:right w:val="single" w:sz="4" w:space="0" w:color="000000"/>
            </w:tcBorders>
          </w:tcPr>
          <w:p>
            <w:pPr>
              <w:pStyle w:val="Style18"/>
              <w:jc w:val="center"/>
              <w:rPr>
                <w:color w:val="auto"/>
                <w:sz w:val="24"/>
                <w:szCs w:val="24"/>
                <w:lang w:eastAsia="ru-RU"/>
              </w:rPr>
            </w:pPr>
            <w:r>
              <w:rPr>
                <w:color w:val="auto"/>
                <w:sz w:val="24"/>
                <w:szCs w:val="24"/>
                <w:lang w:eastAsia="ru-RU"/>
              </w:rPr>
              <w:t>Отделения почтовой связи</w:t>
            </w:r>
          </w:p>
        </w:tc>
      </w:tr>
      <w:tr>
        <w:trPr/>
        <w:tc>
          <w:tcPr>
            <w:tcW w:w="785" w:type="dxa"/>
            <w:tcBorders>
              <w:top w:val="single" w:sz="4" w:space="0" w:color="000000"/>
              <w:left w:val="single" w:sz="4" w:space="0" w:color="000000"/>
              <w:bottom w:val="single" w:sz="4" w:space="0" w:color="000000"/>
              <w:right w:val="single" w:sz="4" w:space="0" w:color="000000"/>
            </w:tcBorders>
          </w:tcPr>
          <w:p>
            <w:pPr>
              <w:pStyle w:val="Style18"/>
              <w:jc w:val="center"/>
              <w:rPr>
                <w:color w:val="auto"/>
                <w:sz w:val="24"/>
                <w:szCs w:val="24"/>
                <w:lang w:eastAsia="ru-RU"/>
              </w:rPr>
            </w:pPr>
            <w:r>
              <w:rPr>
                <w:color w:val="auto"/>
                <w:sz w:val="24"/>
                <w:szCs w:val="24"/>
                <w:lang w:eastAsia="ru-RU"/>
              </w:rPr>
              <w:t>1</w:t>
            </w:r>
          </w:p>
        </w:tc>
        <w:tc>
          <w:tcPr>
            <w:tcW w:w="8837" w:type="dxa"/>
            <w:tcBorders>
              <w:top w:val="single" w:sz="4" w:space="0" w:color="000000"/>
              <w:left w:val="single" w:sz="4" w:space="0" w:color="000000"/>
              <w:bottom w:val="single" w:sz="4" w:space="0" w:color="000000"/>
              <w:right w:val="single" w:sz="4" w:space="0" w:color="000000"/>
            </w:tcBorders>
          </w:tcPr>
          <w:p>
            <w:pPr>
              <w:pStyle w:val="Style18"/>
              <w:rPr>
                <w:color w:val="auto"/>
                <w:sz w:val="24"/>
                <w:szCs w:val="24"/>
                <w:lang w:eastAsia="ru-RU"/>
              </w:rPr>
            </w:pPr>
            <w:r>
              <w:rPr>
                <w:color w:val="auto"/>
                <w:sz w:val="24"/>
                <w:szCs w:val="24"/>
                <w:lang w:eastAsia="ru-RU"/>
              </w:rPr>
              <w:t xml:space="preserve">пос. Первомайский  ул. Ленина д.49 </w:t>
            </w:r>
          </w:p>
        </w:tc>
      </w:tr>
      <w:tr>
        <w:trPr/>
        <w:tc>
          <w:tcPr>
            <w:tcW w:w="785" w:type="dxa"/>
            <w:tcBorders>
              <w:top w:val="single" w:sz="4" w:space="0" w:color="000000"/>
              <w:left w:val="single" w:sz="4" w:space="0" w:color="000000"/>
              <w:bottom w:val="single" w:sz="4" w:space="0" w:color="000000"/>
              <w:right w:val="single" w:sz="4" w:space="0" w:color="000000"/>
            </w:tcBorders>
          </w:tcPr>
          <w:p>
            <w:pPr>
              <w:pStyle w:val="Style18"/>
              <w:jc w:val="center"/>
              <w:rPr>
                <w:color w:val="auto"/>
                <w:sz w:val="24"/>
                <w:szCs w:val="24"/>
                <w:lang w:eastAsia="ru-RU"/>
              </w:rPr>
            </w:pPr>
            <w:r>
              <w:rPr>
                <w:color w:val="auto"/>
                <w:sz w:val="24"/>
                <w:szCs w:val="24"/>
                <w:lang w:eastAsia="ru-RU"/>
              </w:rPr>
              <w:t>2</w:t>
            </w:r>
          </w:p>
        </w:tc>
        <w:tc>
          <w:tcPr>
            <w:tcW w:w="8837" w:type="dxa"/>
            <w:tcBorders>
              <w:top w:val="single" w:sz="4" w:space="0" w:color="000000"/>
              <w:left w:val="single" w:sz="4" w:space="0" w:color="000000"/>
              <w:bottom w:val="single" w:sz="4" w:space="0" w:color="000000"/>
              <w:right w:val="single" w:sz="4" w:space="0" w:color="000000"/>
            </w:tcBorders>
          </w:tcPr>
          <w:p>
            <w:pPr>
              <w:pStyle w:val="Style18"/>
              <w:rPr>
                <w:color w:val="auto"/>
                <w:sz w:val="24"/>
                <w:szCs w:val="24"/>
                <w:lang w:eastAsia="ru-RU"/>
              </w:rPr>
            </w:pPr>
            <w:r>
              <w:rPr>
                <w:color w:val="auto"/>
                <w:sz w:val="24"/>
                <w:szCs w:val="24"/>
                <w:lang w:eastAsia="ru-RU"/>
              </w:rPr>
              <w:t>х. Долотинка ул. Малиновского д.</w:t>
            </w:r>
          </w:p>
        </w:tc>
      </w:tr>
    </w:tbl>
    <w:p>
      <w:pPr>
        <w:pStyle w:val="Normal"/>
        <w:ind w:firstLine="709"/>
        <w:jc w:val="both"/>
        <w:rPr/>
      </w:pPr>
      <w:r>
        <w:rPr/>
      </w:r>
    </w:p>
    <w:p>
      <w:pPr>
        <w:pStyle w:val="Normal"/>
        <w:ind w:firstLine="540"/>
        <w:jc w:val="both"/>
        <w:rPr/>
      </w:pPr>
      <w:r>
        <w:rPr/>
        <w:t>Проводная телефонная связь в поселении отсутствует.</w:t>
      </w:r>
    </w:p>
    <w:p>
      <w:pPr>
        <w:pStyle w:val="Normal"/>
        <w:ind w:firstLine="540"/>
        <w:jc w:val="both"/>
        <w:rPr/>
      </w:pPr>
      <w:r>
        <w:rPr/>
        <w:t>Территория поселения относится к зоне устойчивой связи операторов сотовой связи.</w:t>
      </w:r>
    </w:p>
    <w:p>
      <w:pPr>
        <w:pStyle w:val="Normal"/>
        <w:ind w:firstLine="709"/>
        <w:jc w:val="both"/>
        <w:rPr/>
      </w:pPr>
      <w:r>
        <w:rPr/>
        <w:t>Операторы: 1.«Мегафон», 2.«Билайн», 3.«МТС», 4.«Теле - 2».</w:t>
      </w:r>
    </w:p>
    <w:p>
      <w:pPr>
        <w:pStyle w:val="Normal"/>
        <w:ind w:firstLine="709"/>
        <w:jc w:val="both"/>
        <w:rPr/>
      </w:pPr>
      <w:r>
        <w:rPr/>
        <w:t>Будет продолжать развиваться в поселении и система сотовой радиотелефонной связи на базе стандарта GSM. Дальнейшее развитие этого вида связи, которое начинает составлять существенную конкуренцию телефонии общего пользования, должно идти по пути увеличения площади покрытия территории города и прилегающих районов сотовой связью с применением новейших технологий и повышения качества связи.</w:t>
      </w:r>
    </w:p>
    <w:p>
      <w:pPr>
        <w:pStyle w:val="Normal"/>
        <w:ind w:firstLine="709"/>
        <w:jc w:val="both"/>
        <w:rPr>
          <w:b/>
          <w:i/>
          <w:i/>
        </w:rPr>
      </w:pPr>
      <w:r>
        <w:rPr>
          <w:b/>
          <w:i/>
        </w:rPr>
        <w:t>Телевизионное вещание</w:t>
      </w:r>
    </w:p>
    <w:p>
      <w:pPr>
        <w:pStyle w:val="Normal"/>
        <w:jc w:val="both"/>
        <w:rPr/>
      </w:pPr>
      <w:r>
        <w:rPr/>
        <w:t>В поселении транслируются центральные и региональные программы в метровом и дециметровом диапазонах.</w:t>
      </w:r>
    </w:p>
    <w:p>
      <w:pPr>
        <w:pStyle w:val="Normal"/>
        <w:ind w:firstLine="709"/>
        <w:jc w:val="both"/>
        <w:rPr>
          <w:b/>
        </w:rPr>
      </w:pPr>
      <w:r>
        <w:rPr>
          <w:b/>
        </w:rPr>
        <w:t>Раздел 3. Перспективы развития муниципального образования «Долотинского сельское поселение» Красносулинского района и прогноз спроса на коммунальные ресурсы.</w:t>
      </w:r>
    </w:p>
    <w:p>
      <w:pPr>
        <w:pStyle w:val="Normal"/>
        <w:ind w:firstLine="709"/>
        <w:jc w:val="both"/>
        <w:rPr>
          <w:b/>
        </w:rPr>
      </w:pPr>
      <w:r>
        <w:rPr>
          <w:b/>
        </w:rPr>
        <w:t>3.1. количественное определение перспективных показателей развития муниципального образования «Долотинского сельское поселение» Красносулинского района.*</w:t>
      </w:r>
    </w:p>
    <w:p>
      <w:pPr>
        <w:pStyle w:val="Normal"/>
        <w:ind w:firstLine="709"/>
        <w:jc w:val="both"/>
        <w:rPr>
          <w:b/>
          <w:highlight w:val="yellow"/>
        </w:rPr>
      </w:pPr>
      <w:r>
        <w:rPr>
          <w:b/>
          <w:highlight w:val="yellow"/>
        </w:rPr>
      </w:r>
    </w:p>
    <w:p>
      <w:pPr>
        <w:pStyle w:val="Normal"/>
        <w:ind w:firstLine="709"/>
        <w:jc w:val="both"/>
        <w:rPr>
          <w:b/>
        </w:rPr>
      </w:pPr>
      <w:r>
        <w:rPr>
          <w:b/>
        </w:rPr>
        <w:t>3.2. Прогноз спроса на коммунальные ресурсы.*</w:t>
      </w:r>
    </w:p>
    <w:p>
      <w:pPr>
        <w:pStyle w:val="Normal"/>
        <w:jc w:val="both"/>
        <w:rPr>
          <w:b/>
        </w:rPr>
      </w:pPr>
      <w:r>
        <w:rPr>
          <w:b/>
        </w:rPr>
      </w:r>
    </w:p>
    <w:p>
      <w:pPr>
        <w:pStyle w:val="Normal"/>
        <w:jc w:val="both"/>
        <w:rPr>
          <w:b/>
        </w:rPr>
      </w:pPr>
      <w:r>
        <w:rPr>
          <w:b/>
        </w:rPr>
        <w:t>Раздел 4. Целевые показатели развития коммунальной инфраструктуры.*</w:t>
      </w:r>
    </w:p>
    <w:p>
      <w:pPr>
        <w:pStyle w:val="Normal"/>
        <w:jc w:val="both"/>
        <w:rPr>
          <w:b/>
        </w:rPr>
      </w:pPr>
      <w:r>
        <w:rPr>
          <w:b/>
        </w:rPr>
        <w:t>4.1. критерии доступности для населения коммунальных услуг.</w:t>
      </w:r>
    </w:p>
    <w:p>
      <w:pPr>
        <w:pStyle w:val="Normal"/>
        <w:jc w:val="both"/>
        <w:rPr>
          <w:b/>
        </w:rPr>
      </w:pPr>
      <w:r>
        <w:rPr>
          <w:b/>
        </w:rPr>
        <w:t xml:space="preserve">4.2. показатели спроса на коммунальные ресурсы </w:t>
      </w:r>
    </w:p>
    <w:p>
      <w:pPr>
        <w:pStyle w:val="Normal"/>
        <w:jc w:val="both"/>
        <w:rPr>
          <w:b/>
        </w:rPr>
      </w:pPr>
      <w:r>
        <w:rPr>
          <w:b/>
        </w:rPr>
        <w:t>4.3.показатели степени охвата потребителей приборами учёта ( с выделением многоквартирных домов и бюджетных организаций)</w:t>
      </w:r>
    </w:p>
    <w:p>
      <w:pPr>
        <w:pStyle w:val="Normal"/>
        <w:jc w:val="both"/>
        <w:rPr>
          <w:b/>
        </w:rPr>
      </w:pPr>
      <w:r>
        <w:rPr>
          <w:b/>
        </w:rPr>
        <w:t>4.4.показатели эффективности производства и транспортировки ресурсов по каждой системе ресурсоснабжения (удельные расходы каждого вида ресурса на 1 м кв, на 1 чел.).</w:t>
      </w:r>
    </w:p>
    <w:p>
      <w:pPr>
        <w:pStyle w:val="Normal"/>
        <w:jc w:val="both"/>
        <w:rPr>
          <w:b/>
        </w:rPr>
      </w:pPr>
      <w:r>
        <w:rPr>
          <w:b/>
        </w:rPr>
        <w:t>Раздел 5. программа инвестиционных проектов, обеспечивающих достижение целевых показателей.</w:t>
      </w:r>
    </w:p>
    <w:p>
      <w:pPr>
        <w:pStyle w:val="Normal"/>
        <w:jc w:val="both"/>
        <w:rPr>
          <w:b/>
          <w:highlight w:val="yellow"/>
        </w:rPr>
      </w:pPr>
      <w:r>
        <w:rPr>
          <w:b/>
          <w:highlight w:val="yellow"/>
        </w:rPr>
      </w:r>
    </w:p>
    <w:p>
      <w:pPr>
        <w:pStyle w:val="Normal"/>
        <w:jc w:val="both"/>
        <w:rPr>
          <w:b/>
        </w:rPr>
      </w:pPr>
      <w:r>
        <w:rPr>
          <w:b/>
        </w:rPr>
        <w:t>Раздел 6. Источники инвестиций тарифы и доступность программы для населения.</w:t>
      </w:r>
    </w:p>
    <w:p>
      <w:pPr>
        <w:pStyle w:val="Normal"/>
        <w:jc w:val="both"/>
        <w:rPr>
          <w:b/>
          <w:highlight w:val="yellow"/>
        </w:rPr>
      </w:pPr>
      <w:r>
        <w:rPr>
          <w:b/>
          <w:highlight w:val="yellow"/>
        </w:rPr>
      </w:r>
    </w:p>
    <w:p>
      <w:pPr>
        <w:pStyle w:val="Normal"/>
        <w:jc w:val="both"/>
        <w:rPr>
          <w:b/>
          <w:highlight w:val="yellow"/>
        </w:rPr>
      </w:pPr>
      <w:r>
        <w:rPr>
          <w:b/>
          <w:highlight w:val="yellow"/>
        </w:rPr>
      </w:r>
    </w:p>
    <w:p>
      <w:pPr>
        <w:pStyle w:val="Normal"/>
        <w:jc w:val="both"/>
        <w:rPr>
          <w:b/>
        </w:rPr>
      </w:pPr>
      <w:r>
        <w:rPr>
          <w:b/>
        </w:rPr>
        <w:t>Раздел 7. Управление программой</w:t>
      </w:r>
    </w:p>
    <w:p>
      <w:pPr>
        <w:pStyle w:val="Normal"/>
        <w:ind w:firstLine="900"/>
        <w:jc w:val="both"/>
        <w:rPr>
          <w:b/>
          <w:i/>
          <w:i/>
        </w:rPr>
      </w:pPr>
      <w:r>
        <w:rPr>
          <w:b/>
          <w:i/>
        </w:rPr>
        <w:t>Комплексное управление программой осуществляется путем:</w:t>
      </w:r>
    </w:p>
    <w:p>
      <w:pPr>
        <w:pStyle w:val="Normal"/>
        <w:tabs>
          <w:tab w:val="clear" w:pos="708"/>
          <w:tab w:val="left" w:pos="720" w:leader="none"/>
        </w:tabs>
        <w:ind w:firstLine="900"/>
        <w:jc w:val="both"/>
        <w:rPr/>
      </w:pPr>
      <w:r>
        <w:rPr/>
        <w:t xml:space="preserve">определения наиболее эффективных форм и процедур организации работ по реализации программы; </w:t>
      </w:r>
    </w:p>
    <w:p>
      <w:pPr>
        <w:pStyle w:val="Normal"/>
        <w:tabs>
          <w:tab w:val="clear" w:pos="708"/>
          <w:tab w:val="left" w:pos="720" w:leader="none"/>
        </w:tabs>
        <w:ind w:firstLine="900"/>
        <w:jc w:val="both"/>
        <w:rPr/>
      </w:pPr>
      <w:r>
        <w:rPr/>
        <w:t xml:space="preserve">организации проведения конкурсного отбора исполнителей мероприятий программы; </w:t>
      </w:r>
    </w:p>
    <w:p>
      <w:pPr>
        <w:pStyle w:val="Normal"/>
        <w:tabs>
          <w:tab w:val="clear" w:pos="708"/>
          <w:tab w:val="left" w:pos="720" w:leader="none"/>
        </w:tabs>
        <w:ind w:firstLine="900"/>
        <w:jc w:val="both"/>
        <w:rPr/>
      </w:pPr>
      <w:r>
        <w:rPr/>
        <w:t xml:space="preserve">координации работ исполнителей программных мероприятий и проектов; </w:t>
      </w:r>
    </w:p>
    <w:p>
      <w:pPr>
        <w:pStyle w:val="Normal"/>
        <w:tabs>
          <w:tab w:val="clear" w:pos="708"/>
          <w:tab w:val="left" w:pos="720" w:leader="none"/>
        </w:tabs>
        <w:ind w:firstLine="900"/>
        <w:jc w:val="both"/>
        <w:rPr/>
      </w:pPr>
      <w:r>
        <w:rPr/>
        <w:t xml:space="preserve">обеспечения контроля реализацией 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 </w:t>
      </w:r>
    </w:p>
    <w:p>
      <w:pPr>
        <w:pStyle w:val="Normal"/>
        <w:tabs>
          <w:tab w:val="clear" w:pos="708"/>
          <w:tab w:val="left" w:pos="720" w:leader="none"/>
        </w:tabs>
        <w:ind w:firstLine="900"/>
        <w:jc w:val="both"/>
        <w:rPr/>
      </w:pPr>
      <w:r>
        <w:rPr/>
        <w:t xml:space="preserve">внесения предложений, связанных с корректировкой целевых индикаторов, сроков и объемов финансирования программы; </w:t>
      </w:r>
    </w:p>
    <w:p>
      <w:pPr>
        <w:pStyle w:val="Normal"/>
        <w:tabs>
          <w:tab w:val="clear" w:pos="708"/>
          <w:tab w:val="left" w:pos="720" w:leader="none"/>
        </w:tabs>
        <w:ind w:firstLine="900"/>
        <w:jc w:val="both"/>
        <w:rPr/>
      </w:pPr>
      <w:r>
        <w:rPr/>
        <w:t>предоставления отчетности о ходе выполнения программных мероприятий.</w:t>
      </w:r>
    </w:p>
    <w:p>
      <w:pPr>
        <w:pStyle w:val="Normal"/>
        <w:ind w:firstLine="900"/>
        <w:jc w:val="both"/>
        <w:rPr/>
      </w:pPr>
      <w:r>
        <w:rPr/>
        <w:t>При необходимости изменения объема и стоимости программных</w:t>
      </w:r>
      <w:r>
        <w:rPr>
          <w:highlight w:val="yellow"/>
        </w:rPr>
        <w:t xml:space="preserve"> </w:t>
      </w:r>
      <w:r>
        <w:rPr/>
        <w:t xml:space="preserve">мероприятий будут проводиться экспертные проверки хода реализации программы, целью которых может стать подтверждение соответствия утвержденным параметрам программы сроков реализации мероприятий, целевого и эффективного использования средств.  </w:t>
      </w:r>
    </w:p>
    <w:p>
      <w:pPr>
        <w:pStyle w:val="Normal"/>
        <w:ind w:firstLine="900"/>
        <w:jc w:val="both"/>
        <w:rPr/>
      </w:pPr>
      <w:r>
        <w:rPr/>
        <w:t>В целях контроля, проведения мониторинга мероприятий, предусмотренных программой комплексного развития системы коммунальной инфраструктуры, разработчиками предлагаются целевые индикаторы, которые отвечают следующим  требованиям:</w:t>
      </w:r>
    </w:p>
    <w:p>
      <w:pPr>
        <w:pStyle w:val="Normal"/>
        <w:ind w:firstLine="900"/>
        <w:jc w:val="both"/>
        <w:rPr/>
      </w:pPr>
      <w:r>
        <w:rPr/>
        <w:t>- однозначность – изменение целевых индикаторов однозначно характеризуют положительную и отрицательную динамику происходящих изменений состояния систем коммунальной инфраструктуры, а также не имеют различных толкований;</w:t>
      </w:r>
    </w:p>
    <w:p>
      <w:pPr>
        <w:pStyle w:val="Normal"/>
        <w:ind w:firstLine="900"/>
        <w:jc w:val="both"/>
        <w:rPr/>
      </w:pPr>
      <w:r>
        <w:rPr/>
        <w:t>- измеримость – каждый целевой индикатор  количественно измерен;</w:t>
      </w:r>
    </w:p>
    <w:p>
      <w:pPr>
        <w:pStyle w:val="Normal"/>
        <w:ind w:firstLine="900"/>
        <w:jc w:val="both"/>
        <w:rPr/>
      </w:pPr>
      <w:r>
        <w:rPr/>
        <w:t>- достижимость – целевые значения индикаторов должны быть достижимы организациями коммунального комплекса в срок и на основании ресурсов, предусматриваемых разрабатываемой программой.</w:t>
      </w:r>
    </w:p>
    <w:p>
      <w:pPr>
        <w:pStyle w:val="Normal"/>
        <w:jc w:val="both"/>
        <w:rPr>
          <w:b/>
          <w:highlight w:val="yellow"/>
        </w:rPr>
      </w:pPr>
      <w:r>
        <w:rPr>
          <w:b/>
          <w:highlight w:val="yellow"/>
        </w:rPr>
      </w:r>
    </w:p>
    <w:p>
      <w:pPr>
        <w:pStyle w:val="Heading2"/>
        <w:spacing w:before="0" w:after="0"/>
        <w:ind w:firstLine="708"/>
        <w:rPr>
          <w:rFonts w:ascii="Times New Roman" w:hAnsi="Times New Roman"/>
          <w:i w:val="false"/>
          <w:i w:val="false"/>
          <w:sz w:val="24"/>
          <w:szCs w:val="24"/>
        </w:rPr>
      </w:pPr>
      <w:r>
        <w:rPr>
          <w:rFonts w:ascii="Times New Roman" w:hAnsi="Times New Roman"/>
          <w:i w:val="false"/>
          <w:sz w:val="24"/>
          <w:szCs w:val="24"/>
        </w:rPr>
        <w:t>Система управления Программой и контроль за ходом ее выполнения</w:t>
      </w:r>
    </w:p>
    <w:p>
      <w:pPr>
        <w:pStyle w:val="Normal"/>
        <w:shd w:val="clear" w:color="auto" w:fill="FFFFFF"/>
        <w:tabs>
          <w:tab w:val="clear" w:pos="708"/>
          <w:tab w:val="left" w:pos="720" w:leader="none"/>
        </w:tabs>
        <w:rPr>
          <w:color w:val="000000"/>
          <w:spacing w:val="3"/>
        </w:rPr>
      </w:pPr>
      <w:r>
        <w:rPr>
          <w:color w:val="000000"/>
          <w:spacing w:val="3"/>
        </w:rPr>
      </w:r>
    </w:p>
    <w:p>
      <w:pPr>
        <w:pStyle w:val="Normal"/>
        <w:ind w:firstLine="708"/>
        <w:jc w:val="both"/>
        <w:rPr/>
      </w:pPr>
      <w:r>
        <w:rPr/>
        <w:t>Настоящая система управления разработана в целях обеспечения реализации Программы.</w:t>
      </w:r>
    </w:p>
    <w:p>
      <w:pPr>
        <w:pStyle w:val="Normal"/>
        <w:ind w:firstLine="708"/>
        <w:jc w:val="both"/>
        <w:rPr/>
      </w:pPr>
      <w:r>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pPr>
        <w:pStyle w:val="Normal"/>
        <w:ind w:firstLine="708"/>
        <w:jc w:val="both"/>
        <w:rPr/>
      </w:pPr>
      <w:r>
        <w:rPr/>
        <w:t>Структура системы управления Программой выглядит следующим образом:</w:t>
      </w:r>
    </w:p>
    <w:p>
      <w:pPr>
        <w:pStyle w:val="ListParagraph"/>
        <w:numPr>
          <w:ilvl w:val="0"/>
          <w:numId w:val="3"/>
        </w:numPr>
        <w:spacing w:before="0" w:after="0"/>
        <w:ind w:firstLine="567" w:left="0"/>
        <w:contextualSpacing/>
        <w:jc w:val="both"/>
        <w:rPr/>
      </w:pPr>
      <w:r>
        <w:rPr/>
        <w:t xml:space="preserve"> </w:t>
      </w:r>
      <w:r>
        <w:rPr/>
        <w:t>система ответственности по основным направлениям реализации Программы;</w:t>
      </w:r>
    </w:p>
    <w:p>
      <w:pPr>
        <w:pStyle w:val="ListParagraph"/>
        <w:numPr>
          <w:ilvl w:val="0"/>
          <w:numId w:val="3"/>
        </w:numPr>
        <w:spacing w:before="0" w:after="0"/>
        <w:ind w:firstLine="567" w:left="0"/>
        <w:contextualSpacing/>
        <w:jc w:val="both"/>
        <w:rPr/>
      </w:pPr>
      <w:r>
        <w:rPr/>
        <w:t xml:space="preserve">  </w:t>
      </w:r>
      <w:r>
        <w:rPr/>
        <w:t>система мониторинга и индикативных показателей эффективности реализации Программы;</w:t>
      </w:r>
    </w:p>
    <w:p>
      <w:pPr>
        <w:pStyle w:val="ListParagraph"/>
        <w:numPr>
          <w:ilvl w:val="0"/>
          <w:numId w:val="3"/>
        </w:numPr>
        <w:spacing w:before="0" w:after="0"/>
        <w:ind w:firstLine="567" w:left="0"/>
        <w:contextualSpacing/>
        <w:jc w:val="both"/>
        <w:rPr/>
      </w:pPr>
      <w:r>
        <w:rPr/>
        <w:t xml:space="preserve"> </w:t>
      </w:r>
      <w:r>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pPr>
        <w:pStyle w:val="Normal"/>
        <w:ind w:firstLine="708"/>
        <w:jc w:val="both"/>
        <w:rPr/>
      </w:pPr>
      <w:r>
        <w:rPr>
          <w:b/>
        </w:rPr>
        <w:t>Основным принципом реализации Программы является принцип сбалансированности интересов</w:t>
      </w:r>
      <w:r>
        <w:rPr/>
        <w:t xml:space="preserve"> органов исполнительной власти Красносулинского района органов местного самоуправления муниципального образования "Долотинское сельское поселение", предприятий и организаций различных форм собственности, принимающих участие в реализации мероприятий Программы.</w:t>
      </w:r>
    </w:p>
    <w:p>
      <w:pPr>
        <w:pStyle w:val="BodyTextIndent2"/>
        <w:spacing w:lineRule="auto" w:line="240" w:before="0" w:after="0"/>
        <w:ind w:firstLine="708" w:left="0"/>
        <w:jc w:val="both"/>
        <w:rPr/>
      </w:pPr>
      <w:r>
        <w:rPr/>
        <w:t xml:space="preserve">В реализации Программы участвуют органы местного самоуправления, организации коммунального комплекса, включенные в Программу, и привлеченные исполнители. </w:t>
      </w:r>
    </w:p>
    <w:p>
      <w:pPr>
        <w:pStyle w:val="BodyTextIndent2"/>
        <w:spacing w:lineRule="auto" w:line="240" w:before="0" w:after="0"/>
        <w:ind w:left="0"/>
        <w:jc w:val="both"/>
        <w:rPr>
          <w:b/>
        </w:rPr>
      </w:pPr>
      <w:r>
        <w:rPr>
          <w:b/>
        </w:rPr>
        <w:t>Система ответственности</w:t>
      </w:r>
    </w:p>
    <w:p>
      <w:pPr>
        <w:pStyle w:val="BodyTextIndent2"/>
        <w:spacing w:lineRule="auto" w:line="240" w:before="0" w:after="0"/>
        <w:ind w:firstLine="708" w:left="0"/>
        <w:jc w:val="both"/>
        <w:rPr/>
      </w:pPr>
      <w:r>
        <w:rPr/>
        <w:t xml:space="preserve">Организационная структура управления Программой базируется на существующей системе местного самоуправления муниципального образования "Долотинское сельское поселение". </w:t>
      </w:r>
    </w:p>
    <w:p>
      <w:pPr>
        <w:pStyle w:val="BodyTextIndent2"/>
        <w:spacing w:lineRule="auto" w:line="240" w:before="0" w:after="0"/>
        <w:ind w:firstLine="708" w:left="0"/>
        <w:jc w:val="both"/>
        <w:rPr/>
      </w:pPr>
      <w:r>
        <w:rPr/>
        <w:t>Общее руководство реализацией Программы осуществляется Главой муниципального образования. Контроль за реализацией Программы осуществляют органы исполнительной власти и представительный орган муниципального образования "Долотинское сельское поселение" в рамках своих полномочий.</w:t>
      </w:r>
    </w:p>
    <w:p>
      <w:pPr>
        <w:pStyle w:val="BodyTextIndent2"/>
        <w:spacing w:lineRule="auto" w:line="240" w:before="0" w:after="0"/>
        <w:ind w:firstLine="708" w:left="0"/>
        <w:jc w:val="both"/>
        <w:rPr/>
      </w:pPr>
      <w:r>
        <w:rPr/>
        <w:t xml:space="preserve">В качестве экспертов и консультантов для анализа и оценки мероприятий могут быть привлечены представители федеральных и территориальных органов исполнительной власти, представители организаций коммунального комплекса. </w:t>
      </w:r>
    </w:p>
    <w:p>
      <w:pPr>
        <w:pStyle w:val="Normal"/>
        <w:ind w:firstLine="708"/>
        <w:jc w:val="both"/>
        <w:rPr/>
      </w:pPr>
      <w:r>
        <w:rPr/>
        <w:t>Реализация Программы осуществляется путем разработки инвестиционных программ организаций коммунального комплекса по мероприятиям, вошедшим в Программу.</w:t>
      </w:r>
    </w:p>
    <w:p>
      <w:pPr>
        <w:pStyle w:val="BodyTextIndent2"/>
        <w:spacing w:lineRule="auto" w:line="240" w:before="0" w:after="0"/>
        <w:ind w:left="0"/>
        <w:jc w:val="both"/>
        <w:rPr>
          <w:b/>
          <w:highlight w:val="yellow"/>
        </w:rPr>
      </w:pPr>
      <w:r>
        <w:rPr>
          <w:b/>
          <w:highlight w:val="yellow"/>
        </w:rPr>
      </w:r>
    </w:p>
    <w:p>
      <w:pPr>
        <w:pStyle w:val="BodyTextIndent2"/>
        <w:spacing w:lineRule="auto" w:line="240" w:before="0" w:after="0"/>
        <w:ind w:left="0"/>
        <w:jc w:val="both"/>
        <w:rPr>
          <w:b/>
        </w:rPr>
      </w:pPr>
      <w:r>
        <w:rPr>
          <w:b/>
        </w:rPr>
        <w:t>Порядок разработки и утверждения инвестиционной программы организации коммунального комплекса</w:t>
      </w:r>
    </w:p>
    <w:p>
      <w:pPr>
        <w:pStyle w:val="BodyTextIndent2"/>
        <w:spacing w:lineRule="auto" w:line="240" w:before="0" w:after="0"/>
        <w:ind w:firstLine="708" w:left="0"/>
        <w:jc w:val="both"/>
        <w:rPr/>
      </w:pPr>
      <w:r>
        <w:rPr/>
        <w:t>Инвестиционные программы разрабатываются организациями коммунального комплекса на каждый вид оказываемых ими коммунальных услуг на основании технического задания, разработанного исполнительным органом местного самоуправления  и утвержденного Главой муниципального образования «Долотинского поселение» Красносулинского района.</w:t>
      </w:r>
    </w:p>
    <w:p>
      <w:pPr>
        <w:pStyle w:val="Normal"/>
        <w:jc w:val="both"/>
        <w:rPr>
          <w:b/>
        </w:rPr>
      </w:pPr>
      <w:r>
        <w:rPr>
          <w:b/>
        </w:rPr>
      </w:r>
    </w:p>
    <w:p>
      <w:pPr>
        <w:pStyle w:val="Normal"/>
        <w:ind w:firstLine="900"/>
        <w:jc w:val="both"/>
        <w:rPr/>
      </w:pPr>
      <w:r>
        <w:rPr/>
        <w:t xml:space="preserve">Программа определяет основные направления развития коммунальной инфраструктуры (т.е. объектов  теплоснабжения, газоснабжения, водоснабжения, водоотведения, электроснабжения) в целях повышения качества услуг и улучшения экологии города. Основу документа составляет система программных мероприятий по различным направлениям развития коммунальной инфраструктуры. </w:t>
      </w:r>
    </w:p>
    <w:p>
      <w:pPr>
        <w:pStyle w:val="Normal"/>
        <w:ind w:firstLine="900"/>
        <w:jc w:val="both"/>
        <w:rPr/>
      </w:pPr>
      <w:r>
        <w:rPr/>
        <w:t>Программой определены ресурсное обеспечение и механизмы реализации основных ее направлений. Данная Программа ориентирована на устойчивое развитие муниципального образования «Долотинское сельское поселение» Красносулинского района и в полной мере соответствует государственной политике реформирования жилищно-коммунального комплекса Российской Федерации (далее по тексту- РФ).</w:t>
      </w:r>
    </w:p>
    <w:p>
      <w:pPr>
        <w:pStyle w:val="Normal"/>
        <w:shd w:val="clear" w:color="auto" w:fill="FFFFFF"/>
        <w:tabs>
          <w:tab w:val="clear" w:pos="708"/>
          <w:tab w:val="left" w:pos="1080" w:leader="none"/>
        </w:tabs>
        <w:suppressAutoHyphens w:val="true"/>
        <w:ind w:firstLine="709"/>
        <w:jc w:val="both"/>
        <w:rPr>
          <w:color w:val="000000"/>
          <w:spacing w:val="-3"/>
        </w:rPr>
      </w:pPr>
      <w:r>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r>
        <w:rPr>
          <w:color w:val="000000"/>
          <w:spacing w:val="-3"/>
        </w:rPr>
        <w:t xml:space="preserve"> </w:t>
      </w:r>
    </w:p>
    <w:p>
      <w:pPr>
        <w:pStyle w:val="Normal"/>
        <w:shd w:val="clear" w:color="auto" w:fill="FFFFFF"/>
        <w:tabs>
          <w:tab w:val="clear" w:pos="708"/>
          <w:tab w:val="left" w:pos="1080" w:leader="none"/>
        </w:tabs>
        <w:suppressAutoHyphens w:val="true"/>
        <w:ind w:firstLine="709"/>
        <w:jc w:val="both"/>
        <w:rPr/>
      </w:pPr>
      <w:r>
        <w:rPr/>
        <w:t>Данная программа комплексного развития систем коммунальной инфраструктуры муниципального образования «Долотинское сельское поселение» Красносулинского района, является базовым документом для разработки инвестиционных и производственных программ организаций коммунального комплекса города.</w:t>
      </w:r>
    </w:p>
    <w:p>
      <w:pPr>
        <w:pStyle w:val="Normal"/>
        <w:tabs>
          <w:tab w:val="clear" w:pos="708"/>
          <w:tab w:val="left" w:pos="1080" w:leader="none"/>
        </w:tabs>
        <w:suppressAutoHyphens w:val="true"/>
        <w:ind w:firstLine="720"/>
        <w:jc w:val="center"/>
        <w:rPr>
          <w:b/>
        </w:rPr>
      </w:pPr>
      <w:r>
        <w:rPr>
          <w:b/>
        </w:rPr>
      </w:r>
    </w:p>
    <w:p>
      <w:pPr>
        <w:pStyle w:val="Normal"/>
        <w:tabs>
          <w:tab w:val="clear" w:pos="708"/>
          <w:tab w:val="left" w:pos="1080" w:leader="none"/>
        </w:tabs>
        <w:suppressAutoHyphens w:val="true"/>
        <w:ind w:firstLine="720"/>
        <w:jc w:val="center"/>
        <w:rPr>
          <w:b/>
        </w:rPr>
      </w:pPr>
      <w:bookmarkStart w:id="4" w:name="_Toc242585644"/>
      <w:r>
        <w:rPr>
          <w:b/>
        </w:rPr>
        <w:t>Оценка социально – экономической эффективности Программы</w:t>
      </w:r>
      <w:bookmarkEnd w:id="4"/>
    </w:p>
    <w:p>
      <w:pPr>
        <w:pStyle w:val="Normal"/>
        <w:tabs>
          <w:tab w:val="clear" w:pos="708"/>
          <w:tab w:val="left" w:pos="1080" w:leader="none"/>
        </w:tabs>
        <w:suppressAutoHyphens w:val="true"/>
        <w:ind w:firstLine="720"/>
        <w:jc w:val="center"/>
        <w:rPr>
          <w:b/>
        </w:rPr>
      </w:pPr>
      <w:r>
        <w:rPr>
          <w:b/>
        </w:rPr>
      </w:r>
    </w:p>
    <w:p>
      <w:pPr>
        <w:pStyle w:val="Normal"/>
        <w:ind w:firstLine="900"/>
        <w:jc w:val="both"/>
        <w:rPr/>
      </w:pPr>
      <w:r>
        <w:rPr/>
        <w:t xml:space="preserve">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поселения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 </w:t>
      </w:r>
    </w:p>
    <w:p>
      <w:pPr>
        <w:pStyle w:val="Normal"/>
        <w:ind w:firstLine="900"/>
        <w:jc w:val="both"/>
        <w:rPr/>
      </w:pPr>
      <w:r>
        <w:rPr>
          <w:b/>
          <w:i/>
        </w:rPr>
        <w:t>Экономический результат</w:t>
      </w:r>
      <w:r>
        <w:rPr/>
        <w:t xml:space="preserve"> - плановое развитие коммунальной инфраструктуры в соответствии с документами территориального планирования развития муниципального образования «Долотинское сельское поселение» Красносулинского района;</w:t>
      </w:r>
    </w:p>
    <w:p>
      <w:pPr>
        <w:pStyle w:val="Normal"/>
        <w:ind w:firstLine="900"/>
        <w:jc w:val="both"/>
        <w:rPr/>
      </w:pPr>
      <w:r>
        <w:rPr/>
        <w:t>-повышение инвестиционной привлекательности организаций коммунального комплекса.</w:t>
      </w:r>
    </w:p>
    <w:p>
      <w:pPr>
        <w:pStyle w:val="Normal"/>
        <w:ind w:firstLine="900"/>
        <w:jc w:val="both"/>
        <w:rPr/>
      </w:pPr>
      <w:r>
        <w:rPr>
          <w:b/>
          <w:i/>
        </w:rPr>
        <w:t>Социальный результат</w:t>
      </w:r>
      <w:r>
        <w:rPr/>
        <w:t xml:space="preserve"> – рациональное использование природных ресурсов;</w:t>
      </w:r>
    </w:p>
    <w:p>
      <w:pPr>
        <w:pStyle w:val="Normal"/>
        <w:ind w:firstLine="900"/>
        <w:jc w:val="both"/>
        <w:rPr/>
      </w:pPr>
      <w:r>
        <w:rPr/>
        <w:t>-     повышение качества коммунальных услуг;</w:t>
      </w:r>
    </w:p>
    <w:p>
      <w:pPr>
        <w:pStyle w:val="Normal"/>
        <w:ind w:firstLine="900"/>
        <w:jc w:val="both"/>
        <w:rPr/>
      </w:pPr>
      <w:r>
        <w:rPr/>
        <w:t>- повышение надёжности работы системы коммунальной инфраструктуры города;</w:t>
      </w:r>
    </w:p>
    <w:p>
      <w:pPr>
        <w:pStyle w:val="Normal"/>
        <w:ind w:firstLine="900"/>
        <w:jc w:val="both"/>
        <w:rPr/>
      </w:pPr>
      <w:r>
        <w:rPr>
          <w:b/>
          <w:i/>
        </w:rPr>
        <w:t xml:space="preserve"> </w:t>
      </w:r>
      <w:r>
        <w:rPr>
          <w:b/>
          <w:i/>
        </w:rPr>
        <w:t>Технологическими результатами</w:t>
      </w:r>
      <w:r>
        <w:rPr/>
        <w:t xml:space="preserve"> реализации мероприятий Программы комплексного развития  предполагается:</w:t>
      </w:r>
    </w:p>
    <w:p>
      <w:pPr>
        <w:pStyle w:val="Normal"/>
        <w:ind w:firstLine="900"/>
        <w:jc w:val="both"/>
        <w:rPr/>
      </w:pPr>
      <w:r>
        <w:rPr/>
        <w:t xml:space="preserve">–  </w:t>
      </w:r>
      <w:r>
        <w:rPr/>
        <w:t>обеспечение устойчивости системы коммунальной инфраструктуры поселения;</w:t>
      </w:r>
    </w:p>
    <w:p>
      <w:pPr>
        <w:pStyle w:val="Normal"/>
        <w:ind w:firstLine="900"/>
        <w:jc w:val="both"/>
        <w:rPr/>
      </w:pPr>
      <w:r>
        <w:rPr/>
        <w:t xml:space="preserve">–  </w:t>
      </w:r>
      <w:r>
        <w:rPr/>
        <w:t>снижение уровня износа объектов коммунальной инфраструктуры;</w:t>
      </w:r>
    </w:p>
    <w:p>
      <w:pPr>
        <w:pStyle w:val="Normal"/>
        <w:ind w:firstLine="900"/>
        <w:jc w:val="both"/>
        <w:rPr/>
      </w:pPr>
      <w:r>
        <w:rPr/>
        <w:t xml:space="preserve">– </w:t>
      </w:r>
      <w:r>
        <w:rPr/>
        <w:t>оптимизация управления электроснабжением города;</w:t>
      </w:r>
    </w:p>
    <w:p>
      <w:pPr>
        <w:pStyle w:val="Normal"/>
        <w:ind w:firstLine="900"/>
        <w:jc w:val="both"/>
        <w:rPr/>
      </w:pPr>
      <w:r>
        <w:rPr/>
        <w:t xml:space="preserve">– </w:t>
      </w:r>
      <w:r>
        <w:rPr/>
        <w:t>внедрение энергосберегающих технологий;</w:t>
      </w:r>
    </w:p>
    <w:p>
      <w:pPr>
        <w:pStyle w:val="Normal"/>
        <w:ind w:firstLine="900"/>
        <w:jc w:val="both"/>
        <w:rPr/>
      </w:pPr>
      <w:r>
        <w:rPr/>
        <w:t>–</w:t>
      </w:r>
      <w:r>
        <w:rPr/>
        <w:t>снижение удельного расхода электроэнергии для выработки энергоресурсов:</w:t>
      </w:r>
    </w:p>
    <w:p>
      <w:pPr>
        <w:pStyle w:val="Normal"/>
        <w:ind w:firstLine="900"/>
        <w:jc w:val="center"/>
        <w:rPr>
          <w:rStyle w:val="11"/>
        </w:rPr>
      </w:pPr>
      <w:r>
        <w:rPr>
          <w:rStyle w:val="11"/>
          <w:b/>
          <w:lang w:eastAsia="ar-SA"/>
        </w:rPr>
        <w:t>Раздел 1.</w:t>
      </w:r>
      <w:r>
        <w:rPr>
          <w:rStyle w:val="11"/>
          <w:b/>
          <w:color w:val="000000"/>
          <w:lang w:eastAsia="ar-SA"/>
        </w:rPr>
        <w:t xml:space="preserve"> Краткая характеристика муниципального образования «Долотинское сельское поселение» Красносулинского района.</w:t>
      </w:r>
    </w:p>
    <w:p>
      <w:pPr>
        <w:pStyle w:val="BodyText"/>
        <w:spacing w:before="0" w:after="0"/>
        <w:ind w:firstLine="708"/>
        <w:jc w:val="both"/>
        <w:rPr/>
      </w:pPr>
      <w:r>
        <w:rPr>
          <w:rStyle w:val="11"/>
        </w:rPr>
        <w:t>Муниципальное образование «Долотинское сельское поселение» в соответствии с Законом Ростовской области от</w:t>
      </w:r>
      <w:r>
        <w:rPr>
          <w:bCs/>
          <w:iCs/>
        </w:rPr>
        <w:t xml:space="preserve"> 27.12.2004 № 232-3С «Об установлении границ и наделении соответствующим статусом муниципального образования Красносулинский район и муниципальных образований в его составе»</w:t>
      </w:r>
      <w:r>
        <w:rPr/>
        <w:t xml:space="preserve"> является муниципальным образованием наделенным статусом сельского  поселения с административным центром в х. Молаканский. Этим же законом установлены границы муниципального образования «</w:t>
      </w:r>
      <w:r>
        <w:rPr>
          <w:rStyle w:val="11"/>
        </w:rPr>
        <w:t xml:space="preserve">Долотинское сельское </w:t>
      </w:r>
      <w:r>
        <w:rPr/>
        <w:t>поселение», входящего в состав муниципального образования "</w:t>
      </w:r>
      <w:r>
        <w:rPr>
          <w:rStyle w:val="11"/>
        </w:rPr>
        <w:t xml:space="preserve">Красносулинский </w:t>
      </w:r>
      <w:r>
        <w:rPr/>
        <w:t xml:space="preserve"> район".</w:t>
      </w:r>
    </w:p>
    <w:p>
      <w:pPr>
        <w:pStyle w:val="Normal"/>
        <w:ind w:firstLine="709"/>
        <w:jc w:val="both"/>
        <w:rPr/>
      </w:pPr>
      <w:r>
        <w:rPr/>
        <w:t>Муниципальное образование «Долотинское сельское поселение» расположено в центральной части Красносулинского района, входит в состав Красносулинского района Ростовской области.</w:t>
      </w:r>
    </w:p>
    <w:p>
      <w:pPr>
        <w:pStyle w:val="Normal"/>
        <w:tabs>
          <w:tab w:val="clear" w:pos="708"/>
          <w:tab w:val="left" w:pos="284" w:leader="none"/>
        </w:tabs>
        <w:ind w:firstLine="539"/>
        <w:jc w:val="both"/>
        <w:rPr/>
      </w:pPr>
      <w:r>
        <w:rPr/>
        <w:t>Гидрографическая сеть представлена реками Большая Гнилуша, Малая Гнилуша.</w:t>
      </w:r>
    </w:p>
    <w:p>
      <w:pPr>
        <w:pStyle w:val="Normal"/>
        <w:tabs>
          <w:tab w:val="clear" w:pos="708"/>
          <w:tab w:val="left" w:pos="284" w:leader="none"/>
        </w:tabs>
        <w:ind w:firstLine="539"/>
        <w:jc w:val="both"/>
        <w:rPr/>
      </w:pPr>
      <w:r>
        <w:rPr/>
        <w:t>По территории МО «Долотинское сельское поселение» проходит железнодорожная линия, а также региональные дороги.</w:t>
      </w:r>
    </w:p>
    <w:p>
      <w:pPr>
        <w:pStyle w:val="Normal"/>
        <w:jc w:val="both"/>
        <w:rPr/>
      </w:pPr>
      <w:r>
        <w:rPr/>
        <w:t xml:space="preserve">            </w:t>
      </w:r>
      <w:r>
        <w:rPr/>
        <w:t>В состав муниципального образования «Долотинское сельское поселение» входит пять населенных пункта:</w:t>
      </w:r>
    </w:p>
    <w:p>
      <w:pPr>
        <w:pStyle w:val="Normal"/>
        <w:widowControl w:val="false"/>
        <w:numPr>
          <w:ilvl w:val="0"/>
          <w:numId w:val="4"/>
        </w:numPr>
        <w:suppressAutoHyphens w:val="true"/>
        <w:jc w:val="both"/>
        <w:rPr/>
      </w:pPr>
      <w:r>
        <w:rPr/>
        <w:t>хутор Молаканский;</w:t>
      </w:r>
    </w:p>
    <w:p>
      <w:pPr>
        <w:pStyle w:val="Normal"/>
        <w:widowControl w:val="false"/>
        <w:numPr>
          <w:ilvl w:val="0"/>
          <w:numId w:val="4"/>
        </w:numPr>
        <w:suppressAutoHyphens w:val="true"/>
        <w:jc w:val="both"/>
        <w:rPr/>
      </w:pPr>
      <w:r>
        <w:rPr/>
        <w:t>хутор Долотинка;</w:t>
      </w:r>
    </w:p>
    <w:p>
      <w:pPr>
        <w:pStyle w:val="Normal"/>
        <w:widowControl w:val="false"/>
        <w:numPr>
          <w:ilvl w:val="0"/>
          <w:numId w:val="4"/>
        </w:numPr>
        <w:suppressAutoHyphens w:val="true"/>
        <w:jc w:val="both"/>
        <w:rPr/>
      </w:pPr>
      <w:r>
        <w:rPr/>
        <w:t>хутор Водин;</w:t>
      </w:r>
    </w:p>
    <w:p>
      <w:pPr>
        <w:pStyle w:val="Normal"/>
        <w:widowControl w:val="false"/>
        <w:numPr>
          <w:ilvl w:val="0"/>
          <w:numId w:val="4"/>
        </w:numPr>
        <w:suppressAutoHyphens w:val="true"/>
        <w:jc w:val="both"/>
        <w:rPr/>
      </w:pPr>
      <w:r>
        <w:rPr/>
        <w:t>хутор Большое Зверево</w:t>
      </w:r>
    </w:p>
    <w:p>
      <w:pPr>
        <w:pStyle w:val="Normal"/>
        <w:widowControl w:val="false"/>
        <w:numPr>
          <w:ilvl w:val="0"/>
          <w:numId w:val="4"/>
        </w:numPr>
        <w:suppressAutoHyphens w:val="true"/>
        <w:jc w:val="both"/>
        <w:rPr/>
      </w:pPr>
      <w:r>
        <w:rPr/>
        <w:t>поселок Первомайский.</w:t>
      </w:r>
    </w:p>
    <w:p>
      <w:pPr>
        <w:pStyle w:val="Normal"/>
        <w:widowControl w:val="false"/>
        <w:suppressAutoHyphens w:val="true"/>
        <w:ind w:left="360"/>
        <w:jc w:val="both"/>
        <w:rPr/>
      </w:pPr>
      <w:r>
        <w:rPr/>
        <w:t>С северной стороны граничит с г.Гуково,  с восточной стороны с г.Зверево, с северо-западной стороны г.Гуково, с западной и юго-западной стороны с администрацией Гуково-Гнилушевского с/п, с юго-восточной стороны с территорией Ударниковского с/п</w:t>
      </w:r>
    </w:p>
    <w:p>
      <w:pPr>
        <w:pStyle w:val="Normal"/>
        <w:widowControl w:val="false"/>
        <w:suppressAutoHyphens w:val="true"/>
        <w:ind w:left="360"/>
        <w:jc w:val="both"/>
        <w:rPr/>
      </w:pPr>
      <w:r>
        <w:rPr/>
        <w:t>Расстояние административного центра поселения до райцентра,  25 км</w:t>
      </w:r>
    </w:p>
    <w:p>
      <w:pPr>
        <w:pStyle w:val="BodyText"/>
        <w:spacing w:before="0" w:after="0"/>
        <w:ind w:firstLine="709"/>
        <w:jc w:val="both"/>
        <w:rPr>
          <w:rStyle w:val="11"/>
        </w:rPr>
      </w:pPr>
      <w:r>
        <w:rPr>
          <w:rStyle w:val="11"/>
        </w:rPr>
        <w:t xml:space="preserve">Долотинское сельское поселение как самостоятельное муниципальное образование существует с 1 января 2006 года. </w:t>
      </w:r>
    </w:p>
    <w:p>
      <w:pPr>
        <w:pStyle w:val="BodyText"/>
        <w:spacing w:before="0" w:after="0"/>
        <w:ind w:firstLine="709"/>
        <w:jc w:val="both"/>
        <w:rPr>
          <w:rStyle w:val="11"/>
        </w:rPr>
      </w:pPr>
      <w:r>
        <w:rPr>
          <w:rStyle w:val="11"/>
        </w:rPr>
        <w:t xml:space="preserve">Долотинское сельское поселение расположено в центральной части Красносулинского района Ростовской области. Площадь территории поселения составляет </w:t>
      </w:r>
      <w:r>
        <w:rPr/>
        <w:t xml:space="preserve">10430,68 </w:t>
      </w:r>
      <w:r>
        <w:rPr>
          <w:rStyle w:val="11"/>
        </w:rPr>
        <w:t>кв.м. Численность населения составляет 1973 человек.</w:t>
      </w:r>
    </w:p>
    <w:p>
      <w:pPr>
        <w:pStyle w:val="BodyText"/>
        <w:spacing w:before="0" w:after="0"/>
        <w:ind w:firstLine="709"/>
        <w:jc w:val="both"/>
        <w:rPr>
          <w:rStyle w:val="11"/>
        </w:rPr>
      </w:pPr>
      <w:r>
        <w:rPr>
          <w:rStyle w:val="11"/>
        </w:rPr>
        <w:t xml:space="preserve">Климат Долотинского сельского поселения континентальный, формирующийся под влиянием восточноевропейских континентальных воздушных масс зимой, атлантических и сухих юго-восточных тропических воздушных масс летом. </w:t>
      </w:r>
    </w:p>
    <w:p>
      <w:pPr>
        <w:pStyle w:val="BodyText"/>
        <w:spacing w:before="0" w:after="0"/>
        <w:ind w:firstLine="709"/>
        <w:jc w:val="both"/>
        <w:rPr>
          <w:rStyle w:val="11"/>
        </w:rPr>
      </w:pPr>
      <w:r>
        <w:rPr>
          <w:rStyle w:val="11"/>
        </w:rPr>
        <w:t>Зима умеренно холодная. Среднемесячная температура самого холодного месяца в году (января) равна – 6,7°С, абсолютный минимум достигает - 33°С. Продолжительность периода с устойчивыми морозами около трех месяцев. Безморозный период продолжается в среднем 178 дней. Глубина промерзания грунта в среднем составляет 0,8-1,0 м.</w:t>
      </w:r>
    </w:p>
    <w:p>
      <w:pPr>
        <w:pStyle w:val="BodyText"/>
        <w:spacing w:before="0" w:after="0"/>
        <w:ind w:firstLine="709"/>
        <w:jc w:val="both"/>
        <w:rPr>
          <w:rStyle w:val="11"/>
        </w:rPr>
      </w:pPr>
      <w:r>
        <w:rPr>
          <w:rStyle w:val="11"/>
        </w:rPr>
        <w:t>Лето в поселении жаркое, средняя месячная температура июля +17,7°С, максимальная температура воздуха достигает +42°С. Летние дожди отличаются ливневым характером. Максимальное количество осадков выпадает в июле - 51мм осадков, минимальное в сентябре -25мм, при среднегодовом количестве осадков 419 мм.</w:t>
      </w:r>
    </w:p>
    <w:p>
      <w:pPr>
        <w:pStyle w:val="Heading3"/>
        <w:numPr>
          <w:ilvl w:val="0"/>
          <w:numId w:val="0"/>
        </w:numPr>
        <w:tabs>
          <w:tab w:val="clear" w:pos="708"/>
          <w:tab w:val="left" w:pos="0" w:leader="none"/>
        </w:tabs>
        <w:suppressAutoHyphens w:val="true"/>
        <w:spacing w:before="0" w:after="0"/>
        <w:ind w:hanging="0" w:left="0"/>
        <w:jc w:val="center"/>
        <w:rPr>
          <w:rFonts w:ascii="Times New Roman" w:hAnsi="Times New Roman" w:cs="Times New Roman"/>
          <w:sz w:val="24"/>
          <w:szCs w:val="24"/>
        </w:rPr>
      </w:pPr>
      <w:bookmarkStart w:id="5" w:name="_Toc279135705"/>
      <w:bookmarkStart w:id="6" w:name="_Toc265157840"/>
      <w:bookmarkStart w:id="7" w:name="_Toc248662685"/>
      <w:r>
        <w:rPr>
          <w:rFonts w:cs="Times New Roman" w:ascii="Times New Roman" w:hAnsi="Times New Roman"/>
          <w:sz w:val="24"/>
          <w:szCs w:val="24"/>
        </w:rPr>
        <w:t>1.1. Население.</w:t>
      </w:r>
      <w:bookmarkEnd w:id="5"/>
      <w:bookmarkEnd w:id="6"/>
      <w:bookmarkEnd w:id="7"/>
    </w:p>
    <w:p>
      <w:pPr>
        <w:pStyle w:val="Normal"/>
        <w:shd w:val="clear" w:color="auto" w:fill="FFFFFF"/>
        <w:ind w:firstLine="542" w:right="5"/>
        <w:jc w:val="both"/>
        <w:rPr>
          <w:color w:val="000000"/>
        </w:rPr>
      </w:pPr>
      <w:r>
        <w:rPr>
          <w:rStyle w:val="11"/>
        </w:rPr>
        <w:t xml:space="preserve">Численность населения муниципального образования Долотинского сельского поселение с подчиненными его администрации населенными пунктами на 01.01.2012 составила 1973 человека. </w:t>
      </w:r>
      <w:r>
        <w:rPr>
          <w:color w:val="000000"/>
        </w:rPr>
        <w:t xml:space="preserve">Плотность населения поселения составляет 19,9 человек на 1 кв. км (в области – 42,1 жителя на 1 кв. км, в районе – 40,1 жителя на 1 кв. км). Демографическая ситуация в поселении, как и в Ростовской области в целом характеризуется продолжающимся процессом естественной убыли населения. Естественная убыль населения (превышение числа умерших над числом родившихся), сменившая естественный прирост  еще в середине 90-х годов прошлого века, сохраняется и остается основным фактором сокращения численности населения поселения. </w:t>
      </w:r>
    </w:p>
    <w:p>
      <w:pPr>
        <w:pStyle w:val="Normal"/>
        <w:shd w:val="clear" w:color="auto" w:fill="FFFFFF"/>
        <w:ind w:firstLine="542" w:right="5"/>
        <w:jc w:val="both"/>
        <w:rPr>
          <w:color w:val="000000"/>
        </w:rPr>
      </w:pPr>
      <w:r>
        <w:rPr>
          <w:color w:val="000000"/>
        </w:rPr>
        <w:t>Численность населения поселения сокращается и стабилизируется. Основные причины данной тенденции:</w:t>
      </w:r>
    </w:p>
    <w:p>
      <w:pPr>
        <w:pStyle w:val="Normal"/>
        <w:numPr>
          <w:ilvl w:val="0"/>
          <w:numId w:val="8"/>
        </w:numPr>
        <w:shd w:val="clear" w:color="auto" w:fill="FFFFFF"/>
        <w:ind w:hanging="360" w:left="720" w:right="5"/>
        <w:jc w:val="both"/>
        <w:rPr>
          <w:color w:val="000000"/>
        </w:rPr>
      </w:pPr>
      <w:r>
        <w:rPr>
          <w:color w:val="000000"/>
        </w:rPr>
        <w:t>переход репродуктивной молодой семьи к однодетной на фоне   общего старения населения;</w:t>
      </w:r>
    </w:p>
    <w:p>
      <w:pPr>
        <w:pStyle w:val="Normal"/>
        <w:numPr>
          <w:ilvl w:val="0"/>
          <w:numId w:val="8"/>
        </w:numPr>
        <w:shd w:val="clear" w:color="auto" w:fill="FFFFFF"/>
        <w:ind w:hanging="360" w:left="720" w:right="5"/>
        <w:jc w:val="both"/>
        <w:rPr>
          <w:color w:val="000000"/>
        </w:rPr>
      </w:pPr>
      <w:r>
        <w:rPr>
          <w:color w:val="000000"/>
        </w:rPr>
        <w:t>недостаток мест приложения труда в поселении, что приводит к оттоку населения.</w:t>
      </w:r>
    </w:p>
    <w:p>
      <w:pPr>
        <w:pStyle w:val="Normal"/>
        <w:shd w:val="clear" w:color="auto" w:fill="FFFFFF"/>
        <w:ind w:firstLine="542" w:right="5"/>
        <w:jc w:val="both"/>
        <w:rPr>
          <w:color w:val="000000"/>
        </w:rPr>
      </w:pPr>
      <w:r>
        <w:rPr>
          <w:color w:val="000000"/>
        </w:rPr>
        <w:t>На 01.01.2011г. население Долотинского сельского поселения Красносулинского района Ростовской области  имеет следующую возрастную структуру:</w:t>
      </w:r>
    </w:p>
    <w:p>
      <w:pPr>
        <w:pStyle w:val="Normal"/>
        <w:numPr>
          <w:ilvl w:val="0"/>
          <w:numId w:val="8"/>
        </w:numPr>
        <w:shd w:val="clear" w:color="auto" w:fill="FFFFFF"/>
        <w:ind w:hanging="360" w:left="720" w:right="5"/>
        <w:jc w:val="both"/>
        <w:rPr>
          <w:color w:val="000000"/>
        </w:rPr>
      </w:pPr>
      <w:r>
        <w:rPr>
          <w:color w:val="000000"/>
        </w:rPr>
        <w:t>моложе трудоспособного возраста – 22,2%;</w:t>
      </w:r>
    </w:p>
    <w:p>
      <w:pPr>
        <w:pStyle w:val="Normal"/>
        <w:numPr>
          <w:ilvl w:val="0"/>
          <w:numId w:val="8"/>
        </w:numPr>
        <w:shd w:val="clear" w:color="auto" w:fill="FFFFFF"/>
        <w:ind w:hanging="360" w:left="720" w:right="5"/>
        <w:jc w:val="both"/>
        <w:rPr>
          <w:color w:val="000000"/>
        </w:rPr>
      </w:pPr>
      <w:r>
        <w:rPr>
          <w:color w:val="000000"/>
        </w:rPr>
        <w:t>трудоспособное население – 51,7%;</w:t>
      </w:r>
    </w:p>
    <w:p>
      <w:pPr>
        <w:pStyle w:val="Normal"/>
        <w:numPr>
          <w:ilvl w:val="0"/>
          <w:numId w:val="8"/>
        </w:numPr>
        <w:shd w:val="clear" w:color="auto" w:fill="FFFFFF"/>
        <w:ind w:hanging="360" w:left="720" w:right="5"/>
        <w:jc w:val="both"/>
        <w:rPr>
          <w:color w:val="000000"/>
        </w:rPr>
      </w:pPr>
      <w:r>
        <w:rPr>
          <w:color w:val="000000"/>
        </w:rPr>
        <w:t>старше трудоспособного возраста – 26,1%.</w:t>
      </w:r>
    </w:p>
    <w:p>
      <w:pPr>
        <w:pStyle w:val="Normal"/>
        <w:shd w:val="clear" w:color="auto" w:fill="FFFFFF"/>
        <w:ind w:firstLine="542" w:right="5"/>
        <w:jc w:val="both"/>
        <w:rPr>
          <w:color w:val="000000"/>
        </w:rPr>
      </w:pPr>
      <w:r>
        <w:rPr>
          <w:color w:val="000000"/>
        </w:rPr>
        <w:t xml:space="preserve">В целом численность населения Долотинского сельского поселения по сравнению с 2007 годом сократилась на 3,8%.  </w:t>
      </w:r>
    </w:p>
    <w:p>
      <w:pPr>
        <w:pStyle w:val="BodyText"/>
        <w:spacing w:before="0" w:after="0"/>
        <w:jc w:val="both"/>
        <w:rPr>
          <w:rStyle w:val="11"/>
        </w:rPr>
      </w:pPr>
      <w:r>
        <w:rPr>
          <w:rStyle w:val="11"/>
        </w:rPr>
        <w:t>По данным Паспорта муниципального образования Долотинское сельское поселение в муниципальном образовании 21 % пенсионеры и работающего населения – 38%. Однако распределение данной категории лиц в населенных пунктах резко отличается. В хуторах Долотинка , Большое Зверево , Водин  число пенсионеров преобладает над числом работающего населения почти в 3 раза.</w:t>
      </w:r>
    </w:p>
    <w:p>
      <w:pPr>
        <w:pStyle w:val="BodyText"/>
        <w:spacing w:before="0" w:after="0"/>
        <w:ind w:firstLine="709"/>
        <w:jc w:val="both"/>
        <w:rPr>
          <w:rStyle w:val="11"/>
        </w:rPr>
      </w:pPr>
      <w:r>
        <w:rPr>
          <w:rStyle w:val="11"/>
        </w:rPr>
        <w:t>Доля числа учащихся изменяется не однозначно по населенным пунктам и имеет разные значения 0-15%.</w:t>
      </w:r>
    </w:p>
    <w:p>
      <w:pPr>
        <w:pStyle w:val="BodyText"/>
        <w:spacing w:before="0" w:after="0"/>
        <w:ind w:firstLine="709"/>
        <w:jc w:val="both"/>
        <w:rPr>
          <w:rStyle w:val="11"/>
        </w:rPr>
      </w:pPr>
      <w:r>
        <w:rPr>
          <w:rStyle w:val="11"/>
        </w:rPr>
        <w:t>К отрицательному моменту можно отнести незначительное число детей дошкольного возраста 0-6 лет в среднем по МО</w:t>
      </w:r>
    </w:p>
    <w:p>
      <w:pPr>
        <w:pStyle w:val="BodyText"/>
        <w:spacing w:before="0" w:after="0"/>
        <w:ind w:firstLine="709"/>
        <w:jc w:val="both"/>
        <w:rPr>
          <w:rStyle w:val="11"/>
        </w:rPr>
      </w:pPr>
      <w:r>
        <w:rPr>
          <w:rStyle w:val="11"/>
        </w:rPr>
        <w:t>По половому признаку наблюдается преобладание числа женщин (55% от общей численности населения) над числом мужчин (45% от общей численности населения), что обусловлено разной продолжительностью жизни.</w:t>
      </w:r>
    </w:p>
    <w:p>
      <w:pPr>
        <w:pStyle w:val="BodyText"/>
        <w:spacing w:before="0" w:after="0"/>
        <w:ind w:firstLine="709"/>
        <w:jc w:val="both"/>
        <w:rPr>
          <w:rStyle w:val="11"/>
        </w:rPr>
      </w:pPr>
      <w:r>
        <w:rPr>
          <w:rStyle w:val="11"/>
        </w:rPr>
        <w:t>Процесс старения населения обусловлен низкой рождаемостью.</w:t>
      </w:r>
    </w:p>
    <w:p>
      <w:pPr>
        <w:pStyle w:val="BodyText"/>
        <w:spacing w:before="0" w:after="0"/>
        <w:ind w:firstLine="709"/>
        <w:jc w:val="both"/>
        <w:rPr>
          <w:rStyle w:val="11"/>
        </w:rPr>
      </w:pPr>
      <w:r>
        <w:rPr>
          <w:rStyle w:val="11"/>
        </w:rPr>
        <w:t>Ниже в таблице 1.2.1. приведены показатели численности населения муниципального образования Долотинское сельское  поселение по возрастным группам на 01.01.2012 г</w:t>
      </w:r>
    </w:p>
    <w:p>
      <w:pPr>
        <w:pStyle w:val="12Arial"/>
        <w:spacing w:lineRule="auto" w:line="240"/>
        <w:jc w:val="right"/>
        <w:rPr>
          <w:rFonts w:cs="Times New Roman"/>
          <w:sz w:val="24"/>
          <w:szCs w:val="24"/>
        </w:rPr>
      </w:pPr>
      <w:r>
        <w:rPr>
          <w:rFonts w:cs="Times New Roman"/>
          <w:sz w:val="24"/>
          <w:szCs w:val="24"/>
        </w:rPr>
      </w:r>
    </w:p>
    <w:p>
      <w:pPr>
        <w:pStyle w:val="12Arial"/>
        <w:spacing w:lineRule="auto" w:line="240"/>
        <w:jc w:val="right"/>
        <w:rPr>
          <w:rFonts w:cs="Times New Roman"/>
          <w:sz w:val="24"/>
          <w:szCs w:val="24"/>
        </w:rPr>
      </w:pPr>
      <w:r>
        <w:rPr>
          <w:rFonts w:cs="Times New Roman"/>
          <w:sz w:val="24"/>
          <w:szCs w:val="24"/>
        </w:rPr>
      </w:r>
    </w:p>
    <w:p>
      <w:pPr>
        <w:pStyle w:val="12Arial"/>
        <w:spacing w:lineRule="auto" w:line="240"/>
        <w:jc w:val="right"/>
        <w:rPr>
          <w:rFonts w:cs="Times New Roman"/>
          <w:sz w:val="24"/>
          <w:szCs w:val="24"/>
        </w:rPr>
      </w:pPr>
      <w:r>
        <w:rPr>
          <w:rFonts w:cs="Times New Roman"/>
          <w:sz w:val="24"/>
          <w:szCs w:val="24"/>
        </w:rPr>
      </w:r>
    </w:p>
    <w:p>
      <w:pPr>
        <w:pStyle w:val="12Arial"/>
        <w:spacing w:lineRule="auto" w:line="240"/>
        <w:jc w:val="right"/>
        <w:rPr>
          <w:rFonts w:cs="Times New Roman"/>
          <w:sz w:val="24"/>
          <w:szCs w:val="24"/>
        </w:rPr>
      </w:pPr>
      <w:r>
        <w:rPr>
          <w:rFonts w:cs="Times New Roman"/>
          <w:sz w:val="24"/>
          <w:szCs w:val="24"/>
        </w:rPr>
      </w:r>
    </w:p>
    <w:p>
      <w:pPr>
        <w:pStyle w:val="12Arial"/>
        <w:spacing w:lineRule="auto" w:line="240"/>
        <w:jc w:val="right"/>
        <w:rPr>
          <w:rFonts w:cs="Times New Roman"/>
          <w:sz w:val="24"/>
          <w:szCs w:val="24"/>
        </w:rPr>
      </w:pPr>
      <w:r>
        <w:rPr>
          <w:rFonts w:cs="Times New Roman"/>
          <w:sz w:val="24"/>
          <w:szCs w:val="24"/>
        </w:rPr>
      </w:r>
    </w:p>
    <w:p>
      <w:pPr>
        <w:pStyle w:val="12Arial"/>
        <w:spacing w:lineRule="auto" w:line="240"/>
        <w:jc w:val="right"/>
        <w:rPr>
          <w:rFonts w:cs="Times New Roman"/>
          <w:sz w:val="24"/>
          <w:szCs w:val="24"/>
        </w:rPr>
      </w:pPr>
      <w:r>
        <w:rPr>
          <w:rFonts w:cs="Times New Roman"/>
          <w:sz w:val="24"/>
          <w:szCs w:val="24"/>
        </w:rPr>
      </w:r>
    </w:p>
    <w:p>
      <w:pPr>
        <w:pStyle w:val="12Arial"/>
        <w:spacing w:lineRule="auto" w:line="240"/>
        <w:jc w:val="right"/>
        <w:rPr>
          <w:rFonts w:cs="Times New Roman"/>
          <w:sz w:val="24"/>
          <w:szCs w:val="24"/>
        </w:rPr>
      </w:pPr>
      <w:r>
        <w:rPr>
          <w:rFonts w:cs="Times New Roman"/>
          <w:sz w:val="24"/>
          <w:szCs w:val="24"/>
        </w:rPr>
      </w:r>
    </w:p>
    <w:p>
      <w:pPr>
        <w:pStyle w:val="12Arial"/>
        <w:spacing w:lineRule="auto" w:line="240"/>
        <w:jc w:val="right"/>
        <w:rPr>
          <w:rFonts w:cs="Times New Roman"/>
          <w:sz w:val="24"/>
          <w:szCs w:val="24"/>
        </w:rPr>
      </w:pPr>
      <w:r>
        <w:rPr>
          <w:rFonts w:cs="Times New Roman"/>
          <w:sz w:val="24"/>
          <w:szCs w:val="24"/>
        </w:rPr>
        <w:t>Таблица 1.2.1.</w:t>
      </w:r>
    </w:p>
    <w:tbl>
      <w:tblPr>
        <w:tblW w:w="10173"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567"/>
        <w:gridCol w:w="4395"/>
        <w:gridCol w:w="849"/>
        <w:gridCol w:w="852"/>
        <w:gridCol w:w="849"/>
        <w:gridCol w:w="852"/>
        <w:gridCol w:w="850"/>
        <w:gridCol w:w="957"/>
      </w:tblGrid>
      <w:tr>
        <w:trPr>
          <w:cantSplit w:val="true"/>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rPr>
                <w:b/>
              </w:rPr>
            </w:pPr>
            <w:r>
              <w:rPr>
                <w:b/>
              </w:rPr>
              <w:t xml:space="preserve">№ </w:t>
            </w:r>
            <w:r>
              <w:rPr>
                <w:b/>
              </w:rPr>
              <w:t>п/п</w:t>
            </w:r>
          </w:p>
          <w:p>
            <w:pPr>
              <w:pStyle w:val="Normal"/>
              <w:rPr>
                <w:b/>
              </w:rPr>
            </w:pPr>
            <w:r>
              <w:rPr>
                <w:b/>
              </w:rPr>
            </w:r>
          </w:p>
        </w:tc>
        <w:tc>
          <w:tcPr>
            <w:tcW w:w="4395" w:type="dxa"/>
            <w:vMerge w:val="restart"/>
            <w:tcBorders>
              <w:top w:val="single" w:sz="4" w:space="0" w:color="000000"/>
              <w:left w:val="single" w:sz="4" w:space="0" w:color="000000"/>
              <w:bottom w:val="single" w:sz="4" w:space="0" w:color="000000"/>
              <w:right w:val="single" w:sz="4" w:space="0" w:color="000000"/>
            </w:tcBorders>
          </w:tcPr>
          <w:p>
            <w:pPr>
              <w:pStyle w:val="Normal"/>
              <w:rPr>
                <w:b/>
              </w:rPr>
            </w:pPr>
            <w:r>
              <w:rPr>
                <w:b/>
              </w:rPr>
            </w:r>
          </w:p>
          <w:p>
            <w:pPr>
              <w:pStyle w:val="Normal"/>
              <w:rPr>
                <w:b/>
              </w:rPr>
            </w:pPr>
            <w:r>
              <w:rPr>
                <w:b/>
              </w:rPr>
              <w:t>Наименование характеристики</w:t>
            </w:r>
          </w:p>
        </w:tc>
        <w:tc>
          <w:tcPr>
            <w:tcW w:w="4252" w:type="dxa"/>
            <w:gridSpan w:val="5"/>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Населенные пункты</w:t>
            </w:r>
          </w:p>
        </w:tc>
        <w:tc>
          <w:tcPr>
            <w:tcW w:w="957" w:type="dxa"/>
            <w:vMerge w:val="restart"/>
            <w:tcBorders>
              <w:top w:val="single" w:sz="4" w:space="0" w:color="000000"/>
              <w:left w:val="single" w:sz="4" w:space="0" w:color="000000"/>
              <w:bottom w:val="single" w:sz="4" w:space="0" w:color="000000"/>
              <w:right w:val="single" w:sz="4" w:space="0" w:color="000000"/>
            </w:tcBorders>
          </w:tcPr>
          <w:p>
            <w:pPr>
              <w:pStyle w:val="Normal"/>
              <w:rPr>
                <w:b/>
              </w:rPr>
            </w:pPr>
            <w:r>
              <w:rPr>
                <w:b/>
              </w:rPr>
            </w:r>
          </w:p>
          <w:p>
            <w:pPr>
              <w:pStyle w:val="Normal"/>
              <w:rPr>
                <w:b/>
              </w:rPr>
            </w:pPr>
            <w:r>
              <w:rPr>
                <w:b/>
              </w:rPr>
              <w:t>Всего</w:t>
            </w:r>
          </w:p>
        </w:tc>
      </w:tr>
      <w:tr>
        <w:trPr>
          <w:trHeight w:val="912" w:hRule="atLeast"/>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rPr>
                <w:b/>
              </w:rPr>
            </w:pPr>
            <w:r>
              <w:rPr>
                <w:b/>
              </w:rPr>
            </w:r>
          </w:p>
        </w:tc>
        <w:tc>
          <w:tcPr>
            <w:tcW w:w="4395" w:type="dxa"/>
            <w:vMerge w:val="continue"/>
            <w:tcBorders>
              <w:top w:val="single" w:sz="4" w:space="0" w:color="000000"/>
              <w:left w:val="single" w:sz="4" w:space="0" w:color="000000"/>
              <w:bottom w:val="single" w:sz="4" w:space="0" w:color="000000"/>
              <w:right w:val="single" w:sz="4" w:space="0" w:color="000000"/>
            </w:tcBorders>
          </w:tcPr>
          <w:p>
            <w:pPr>
              <w:pStyle w:val="Normal"/>
              <w:rPr>
                <w:b/>
              </w:rPr>
            </w:pPr>
            <w:r>
              <w:rPr>
                <w:b/>
              </w:rPr>
            </w:r>
          </w:p>
        </w:tc>
        <w:tc>
          <w:tcPr>
            <w:tcW w:w="849" w:type="dxa"/>
            <w:tcBorders>
              <w:top w:val="single" w:sz="4" w:space="0" w:color="000000"/>
              <w:left w:val="single" w:sz="4" w:space="0" w:color="000000"/>
              <w:bottom w:val="single" w:sz="4" w:space="0" w:color="000000"/>
              <w:right w:val="single" w:sz="4" w:space="0" w:color="000000"/>
            </w:tcBorders>
          </w:tcPr>
          <w:p>
            <w:pPr>
              <w:pStyle w:val="Normal"/>
              <w:rPr>
                <w:b/>
              </w:rPr>
            </w:pPr>
            <w:r>
              <w:rPr>
                <w:b/>
              </w:rPr>
              <w:t>х.Мо-лаканский</w:t>
            </w:r>
          </w:p>
        </w:tc>
        <w:tc>
          <w:tcPr>
            <w:tcW w:w="852" w:type="dxa"/>
            <w:tcBorders>
              <w:top w:val="single" w:sz="4" w:space="0" w:color="000000"/>
              <w:left w:val="single" w:sz="4" w:space="0" w:color="000000"/>
              <w:bottom w:val="single" w:sz="4" w:space="0" w:color="000000"/>
              <w:right w:val="single" w:sz="4" w:space="0" w:color="000000"/>
            </w:tcBorders>
          </w:tcPr>
          <w:p>
            <w:pPr>
              <w:pStyle w:val="Normal"/>
              <w:rPr>
                <w:b/>
              </w:rPr>
            </w:pPr>
            <w:r>
              <w:rPr>
                <w:b/>
              </w:rPr>
              <w:t>х.До-лотинка</w:t>
            </w:r>
          </w:p>
        </w:tc>
        <w:tc>
          <w:tcPr>
            <w:tcW w:w="849" w:type="dxa"/>
            <w:tcBorders>
              <w:top w:val="single" w:sz="4" w:space="0" w:color="000000"/>
              <w:left w:val="single" w:sz="4" w:space="0" w:color="000000"/>
              <w:bottom w:val="single" w:sz="4" w:space="0" w:color="000000"/>
              <w:right w:val="single" w:sz="4" w:space="0" w:color="000000"/>
            </w:tcBorders>
          </w:tcPr>
          <w:p>
            <w:pPr>
              <w:pStyle w:val="Normal"/>
              <w:rPr>
                <w:b/>
              </w:rPr>
            </w:pPr>
            <w:r>
              <w:rPr>
                <w:b/>
              </w:rPr>
              <w:t>х.Во-дин</w:t>
            </w:r>
          </w:p>
        </w:tc>
        <w:tc>
          <w:tcPr>
            <w:tcW w:w="852" w:type="dxa"/>
            <w:tcBorders>
              <w:top w:val="single" w:sz="4" w:space="0" w:color="000000"/>
              <w:left w:val="single" w:sz="4" w:space="0" w:color="000000"/>
              <w:bottom w:val="single" w:sz="4" w:space="0" w:color="000000"/>
              <w:right w:val="single" w:sz="4" w:space="0" w:color="000000"/>
            </w:tcBorders>
          </w:tcPr>
          <w:p>
            <w:pPr>
              <w:pStyle w:val="Normal"/>
              <w:rPr>
                <w:b/>
              </w:rPr>
            </w:pPr>
            <w:r>
              <w:rPr>
                <w:b/>
              </w:rPr>
              <w:t>х.Б.Зверево</w:t>
            </w:r>
          </w:p>
        </w:tc>
        <w:tc>
          <w:tcPr>
            <w:tcW w:w="850" w:type="dxa"/>
            <w:tcBorders>
              <w:top w:val="single" w:sz="4" w:space="0" w:color="000000"/>
              <w:left w:val="single" w:sz="4" w:space="0" w:color="000000"/>
              <w:bottom w:val="single" w:sz="4" w:space="0" w:color="000000"/>
              <w:right w:val="single" w:sz="4" w:space="0" w:color="000000"/>
            </w:tcBorders>
          </w:tcPr>
          <w:p>
            <w:pPr>
              <w:pStyle w:val="Normal"/>
              <w:rPr>
                <w:b/>
              </w:rPr>
            </w:pPr>
            <w:r>
              <w:rPr>
                <w:b/>
              </w:rPr>
              <w:t>п.Первомайский</w:t>
            </w:r>
          </w:p>
        </w:tc>
        <w:tc>
          <w:tcPr>
            <w:tcW w:w="95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r>
      <w:tr>
        <w:trPr>
          <w:cantSplit w:val="true"/>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rPr/>
            </w:pPr>
            <w:r>
              <w:rPr/>
              <w:t>10.</w:t>
            </w:r>
          </w:p>
        </w:tc>
        <w:tc>
          <w:tcPr>
            <w:tcW w:w="4395" w:type="dxa"/>
            <w:tcBorders>
              <w:top w:val="single" w:sz="4" w:space="0" w:color="000000"/>
              <w:left w:val="single" w:sz="4" w:space="0" w:color="000000"/>
              <w:bottom w:val="single" w:sz="4" w:space="0" w:color="000000"/>
              <w:right w:val="single" w:sz="4" w:space="0" w:color="000000"/>
            </w:tcBorders>
          </w:tcPr>
          <w:p>
            <w:pPr>
              <w:pStyle w:val="Normal"/>
              <w:rPr/>
            </w:pPr>
            <w:r>
              <w:rPr/>
              <w:t xml:space="preserve">Численность населения на 01.01.2012 г. (чел): </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656</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333</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22</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24</w:t>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t>938</w:t>
            </w:r>
          </w:p>
        </w:tc>
        <w:tc>
          <w:tcPr>
            <w:tcW w:w="957" w:type="dxa"/>
            <w:tcBorders>
              <w:top w:val="single" w:sz="4" w:space="0" w:color="000000"/>
              <w:left w:val="single" w:sz="4" w:space="0" w:color="000000"/>
              <w:bottom w:val="single" w:sz="4" w:space="0" w:color="000000"/>
              <w:right w:val="single" w:sz="4" w:space="0" w:color="000000"/>
            </w:tcBorders>
          </w:tcPr>
          <w:p>
            <w:pPr>
              <w:pStyle w:val="Normal"/>
              <w:rPr/>
            </w:pPr>
            <w:r>
              <w:rPr/>
              <w:t>1973</w:t>
            </w:r>
          </w:p>
        </w:tc>
      </w:tr>
      <w:tr>
        <w:trPr>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395" w:type="dxa"/>
            <w:tcBorders>
              <w:top w:val="single" w:sz="4" w:space="0" w:color="000000"/>
              <w:left w:val="single" w:sz="4" w:space="0" w:color="000000"/>
              <w:bottom w:val="single" w:sz="4" w:space="0" w:color="000000"/>
              <w:right w:val="single" w:sz="4" w:space="0" w:color="000000"/>
            </w:tcBorders>
          </w:tcPr>
          <w:p>
            <w:pPr>
              <w:pStyle w:val="Normal"/>
              <w:rPr/>
            </w:pPr>
            <w:r>
              <w:rPr/>
              <w:t>работающих</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240</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109</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4</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9</w:t>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t>312</w:t>
            </w:r>
          </w:p>
        </w:tc>
        <w:tc>
          <w:tcPr>
            <w:tcW w:w="957" w:type="dxa"/>
            <w:tcBorders>
              <w:top w:val="single" w:sz="4" w:space="0" w:color="000000"/>
              <w:left w:val="single" w:sz="4" w:space="0" w:color="000000"/>
              <w:bottom w:val="single" w:sz="4" w:space="0" w:color="000000"/>
              <w:right w:val="single" w:sz="4" w:space="0" w:color="000000"/>
            </w:tcBorders>
          </w:tcPr>
          <w:p>
            <w:pPr>
              <w:pStyle w:val="Normal"/>
              <w:rPr/>
            </w:pPr>
            <w:r>
              <w:rPr/>
              <w:t>674</w:t>
            </w:r>
          </w:p>
        </w:tc>
      </w:tr>
      <w:tr>
        <w:trPr>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395" w:type="dxa"/>
            <w:tcBorders>
              <w:top w:val="single" w:sz="4" w:space="0" w:color="000000"/>
              <w:left w:val="single" w:sz="4" w:space="0" w:color="000000"/>
              <w:bottom w:val="single" w:sz="4" w:space="0" w:color="000000"/>
              <w:right w:val="single" w:sz="4" w:space="0" w:color="000000"/>
            </w:tcBorders>
          </w:tcPr>
          <w:p>
            <w:pPr>
              <w:pStyle w:val="Normal"/>
              <w:rPr/>
            </w:pPr>
            <w:r>
              <w:rPr/>
              <w:t>пенсионеров</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114</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82</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13</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4</w:t>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t>212</w:t>
            </w:r>
          </w:p>
        </w:tc>
        <w:tc>
          <w:tcPr>
            <w:tcW w:w="957" w:type="dxa"/>
            <w:tcBorders>
              <w:top w:val="single" w:sz="4" w:space="0" w:color="000000"/>
              <w:left w:val="single" w:sz="4" w:space="0" w:color="000000"/>
              <w:bottom w:val="single" w:sz="4" w:space="0" w:color="000000"/>
              <w:right w:val="single" w:sz="4" w:space="0" w:color="000000"/>
            </w:tcBorders>
          </w:tcPr>
          <w:p>
            <w:pPr>
              <w:pStyle w:val="Normal"/>
              <w:rPr/>
            </w:pPr>
            <w:r>
              <w:rPr/>
              <w:t>425</w:t>
            </w:r>
          </w:p>
        </w:tc>
      </w:tr>
      <w:tr>
        <w:trPr>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395" w:type="dxa"/>
            <w:tcBorders>
              <w:top w:val="single" w:sz="4" w:space="0" w:color="000000"/>
              <w:left w:val="single" w:sz="4" w:space="0" w:color="000000"/>
              <w:bottom w:val="single" w:sz="4" w:space="0" w:color="000000"/>
              <w:right w:val="single" w:sz="4" w:space="0" w:color="000000"/>
            </w:tcBorders>
          </w:tcPr>
          <w:p>
            <w:pPr>
              <w:pStyle w:val="Normal"/>
              <w:rPr/>
            </w:pPr>
            <w:r>
              <w:rPr/>
              <w:t>учащихся</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53</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26</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t>79</w:t>
            </w:r>
          </w:p>
        </w:tc>
        <w:tc>
          <w:tcPr>
            <w:tcW w:w="957" w:type="dxa"/>
            <w:tcBorders>
              <w:top w:val="single" w:sz="4" w:space="0" w:color="000000"/>
              <w:left w:val="single" w:sz="4" w:space="0" w:color="000000"/>
              <w:bottom w:val="single" w:sz="4" w:space="0" w:color="000000"/>
              <w:right w:val="single" w:sz="4" w:space="0" w:color="000000"/>
            </w:tcBorders>
          </w:tcPr>
          <w:p>
            <w:pPr>
              <w:pStyle w:val="Normal"/>
              <w:rPr/>
            </w:pPr>
            <w:r>
              <w:rPr/>
              <w:t>161</w:t>
            </w:r>
          </w:p>
        </w:tc>
      </w:tr>
      <w:tr>
        <w:trPr>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395" w:type="dxa"/>
            <w:tcBorders>
              <w:top w:val="single" w:sz="4" w:space="0" w:color="000000"/>
              <w:left w:val="single" w:sz="4" w:space="0" w:color="000000"/>
              <w:bottom w:val="single" w:sz="4" w:space="0" w:color="000000"/>
              <w:right w:val="single" w:sz="4" w:space="0" w:color="000000"/>
            </w:tcBorders>
          </w:tcPr>
          <w:p>
            <w:pPr>
              <w:pStyle w:val="Normal"/>
              <w:rPr/>
            </w:pPr>
            <w:r>
              <w:rPr/>
              <w:t>дошкольного возраста</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52</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27</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2</w:t>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t>79</w:t>
            </w:r>
          </w:p>
        </w:tc>
        <w:tc>
          <w:tcPr>
            <w:tcW w:w="957" w:type="dxa"/>
            <w:tcBorders>
              <w:top w:val="single" w:sz="4" w:space="0" w:color="000000"/>
              <w:left w:val="single" w:sz="4" w:space="0" w:color="000000"/>
              <w:bottom w:val="single" w:sz="4" w:space="0" w:color="000000"/>
              <w:right w:val="single" w:sz="4" w:space="0" w:color="000000"/>
            </w:tcBorders>
          </w:tcPr>
          <w:p>
            <w:pPr>
              <w:pStyle w:val="Normal"/>
              <w:rPr/>
            </w:pPr>
            <w:r>
              <w:rPr/>
              <w:t>161</w:t>
            </w:r>
          </w:p>
        </w:tc>
      </w:tr>
      <w:tr>
        <w:trPr>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395" w:type="dxa"/>
            <w:tcBorders>
              <w:top w:val="single" w:sz="4" w:space="0" w:color="000000"/>
              <w:left w:val="single" w:sz="4" w:space="0" w:color="000000"/>
              <w:bottom w:val="single" w:sz="4" w:space="0" w:color="000000"/>
              <w:right w:val="single" w:sz="4" w:space="0" w:color="000000"/>
            </w:tcBorders>
          </w:tcPr>
          <w:p>
            <w:pPr>
              <w:pStyle w:val="Normal"/>
              <w:rPr/>
            </w:pPr>
            <w:r>
              <w:rPr/>
              <w:t>женщин</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329</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183</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15</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9</w:t>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t>475</w:t>
            </w:r>
          </w:p>
        </w:tc>
        <w:tc>
          <w:tcPr>
            <w:tcW w:w="957" w:type="dxa"/>
            <w:tcBorders>
              <w:top w:val="single" w:sz="4" w:space="0" w:color="000000"/>
              <w:left w:val="single" w:sz="4" w:space="0" w:color="000000"/>
              <w:bottom w:val="single" w:sz="4" w:space="0" w:color="000000"/>
              <w:right w:val="single" w:sz="4" w:space="0" w:color="000000"/>
            </w:tcBorders>
          </w:tcPr>
          <w:p>
            <w:pPr>
              <w:pStyle w:val="Normal"/>
              <w:rPr/>
            </w:pPr>
            <w:r>
              <w:rPr/>
              <w:t>1011</w:t>
            </w:r>
          </w:p>
        </w:tc>
      </w:tr>
      <w:tr>
        <w:trPr>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395" w:type="dxa"/>
            <w:tcBorders>
              <w:top w:val="single" w:sz="4" w:space="0" w:color="000000"/>
              <w:left w:val="single" w:sz="4" w:space="0" w:color="000000"/>
              <w:bottom w:val="single" w:sz="4" w:space="0" w:color="000000"/>
              <w:right w:val="single" w:sz="4" w:space="0" w:color="000000"/>
            </w:tcBorders>
          </w:tcPr>
          <w:p>
            <w:pPr>
              <w:pStyle w:val="Normal"/>
              <w:rPr/>
            </w:pPr>
            <w:r>
              <w:rPr/>
              <w:t>мужчин</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327</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150</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7</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15</w:t>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t>463</w:t>
            </w:r>
          </w:p>
        </w:tc>
        <w:tc>
          <w:tcPr>
            <w:tcW w:w="957" w:type="dxa"/>
            <w:tcBorders>
              <w:top w:val="single" w:sz="4" w:space="0" w:color="000000"/>
              <w:left w:val="single" w:sz="4" w:space="0" w:color="000000"/>
              <w:bottom w:val="single" w:sz="4" w:space="0" w:color="000000"/>
              <w:right w:val="single" w:sz="4" w:space="0" w:color="000000"/>
            </w:tcBorders>
          </w:tcPr>
          <w:p>
            <w:pPr>
              <w:pStyle w:val="Normal"/>
              <w:rPr/>
            </w:pPr>
            <w:r>
              <w:rPr/>
              <w:t>962</w:t>
            </w:r>
          </w:p>
        </w:tc>
      </w:tr>
      <w:tr>
        <w:trPr>
          <w:cantSplit w:val="true"/>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4395" w:type="dxa"/>
            <w:tcBorders>
              <w:top w:val="single" w:sz="4" w:space="0" w:color="000000"/>
              <w:left w:val="single" w:sz="4" w:space="0" w:color="000000"/>
              <w:bottom w:val="single" w:sz="4" w:space="0" w:color="000000"/>
              <w:right w:val="single" w:sz="4" w:space="0" w:color="000000"/>
            </w:tcBorders>
          </w:tcPr>
          <w:p>
            <w:pPr>
              <w:pStyle w:val="Normal"/>
              <w:rPr/>
            </w:pPr>
            <w:r>
              <w:rPr/>
              <w:t>безработных</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416</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224</w:t>
            </w:r>
          </w:p>
        </w:tc>
        <w:tc>
          <w:tcPr>
            <w:tcW w:w="849" w:type="dxa"/>
            <w:tcBorders>
              <w:top w:val="single" w:sz="4" w:space="0" w:color="000000"/>
              <w:left w:val="single" w:sz="4" w:space="0" w:color="000000"/>
              <w:bottom w:val="single" w:sz="4" w:space="0" w:color="000000"/>
              <w:right w:val="single" w:sz="4" w:space="0" w:color="000000"/>
            </w:tcBorders>
          </w:tcPr>
          <w:p>
            <w:pPr>
              <w:pStyle w:val="Normal"/>
              <w:rPr/>
            </w:pPr>
            <w:r>
              <w:rPr/>
              <w:t>18</w:t>
            </w:r>
          </w:p>
        </w:tc>
        <w:tc>
          <w:tcPr>
            <w:tcW w:w="852" w:type="dxa"/>
            <w:tcBorders>
              <w:top w:val="single" w:sz="4" w:space="0" w:color="000000"/>
              <w:left w:val="single" w:sz="4" w:space="0" w:color="000000"/>
              <w:bottom w:val="single" w:sz="4" w:space="0" w:color="000000"/>
              <w:right w:val="single" w:sz="4" w:space="0" w:color="000000"/>
            </w:tcBorders>
          </w:tcPr>
          <w:p>
            <w:pPr>
              <w:pStyle w:val="Normal"/>
              <w:rPr/>
            </w:pPr>
            <w:r>
              <w:rPr/>
              <w:t>15</w:t>
            </w:r>
          </w:p>
        </w:tc>
        <w:tc>
          <w:tcPr>
            <w:tcW w:w="850" w:type="dxa"/>
            <w:tcBorders>
              <w:top w:val="single" w:sz="4" w:space="0" w:color="000000"/>
              <w:left w:val="single" w:sz="4" w:space="0" w:color="000000"/>
              <w:bottom w:val="single" w:sz="4" w:space="0" w:color="000000"/>
              <w:right w:val="single" w:sz="4" w:space="0" w:color="000000"/>
            </w:tcBorders>
          </w:tcPr>
          <w:p>
            <w:pPr>
              <w:pStyle w:val="Normal"/>
              <w:rPr/>
            </w:pPr>
            <w:r>
              <w:rPr/>
              <w:t>626</w:t>
            </w:r>
          </w:p>
        </w:tc>
        <w:tc>
          <w:tcPr>
            <w:tcW w:w="957" w:type="dxa"/>
            <w:tcBorders>
              <w:top w:val="single" w:sz="4" w:space="0" w:color="000000"/>
              <w:left w:val="single" w:sz="4" w:space="0" w:color="000000"/>
              <w:bottom w:val="single" w:sz="4" w:space="0" w:color="000000"/>
              <w:right w:val="single" w:sz="4" w:space="0" w:color="000000"/>
            </w:tcBorders>
          </w:tcPr>
          <w:p>
            <w:pPr>
              <w:pStyle w:val="Normal"/>
              <w:rPr/>
            </w:pPr>
            <w:r>
              <w:rPr/>
              <w:t>1299</w:t>
            </w:r>
          </w:p>
        </w:tc>
      </w:tr>
    </w:tbl>
    <w:p>
      <w:pPr>
        <w:pStyle w:val="BodyText"/>
        <w:spacing w:before="0" w:after="0"/>
        <w:ind w:firstLine="709"/>
        <w:jc w:val="both"/>
        <w:rPr>
          <w:rStyle w:val="11"/>
        </w:rPr>
      </w:pPr>
      <w:r>
        <w:rPr/>
      </w:r>
    </w:p>
    <w:p>
      <w:pPr>
        <w:pStyle w:val="BodyText"/>
        <w:spacing w:before="0" w:after="0"/>
        <w:jc w:val="center"/>
        <w:rPr>
          <w:rStyle w:val="11"/>
          <w:b/>
        </w:rPr>
      </w:pPr>
      <w:r>
        <w:rPr>
          <w:rStyle w:val="11"/>
          <w:b/>
        </w:rPr>
        <w:t>1.2. Динамика социально-экономических показателей Долотинского сельского  поселения до 2014 года.</w:t>
      </w:r>
    </w:p>
    <w:p>
      <w:pPr>
        <w:pStyle w:val="BodyText"/>
        <w:spacing w:before="0" w:after="0"/>
        <w:ind w:firstLine="709"/>
        <w:jc w:val="both"/>
        <w:rPr>
          <w:rStyle w:val="11"/>
        </w:rPr>
      </w:pPr>
      <w:r>
        <w:rPr>
          <w:rStyle w:val="11"/>
        </w:rPr>
        <w:t>Основными направлениями в развитии экономики поселения является разнообразие экономической специализации, сочетание промышленных производств, сельскохозяйственных организаций и малых сфер экономики.</w:t>
      </w:r>
      <w:r>
        <w:rPr>
          <w:color w:val="000000"/>
        </w:rPr>
        <w:t xml:space="preserve"> Основа экономической деятельности Долотинского сельского поселения, как и Красносулинского района в целом, составляют предприятия угледобывающей отрасли, которые представлены </w:t>
      </w:r>
      <w:r>
        <w:rPr>
          <w:rStyle w:val="11"/>
        </w:rPr>
        <w:t xml:space="preserve">шахтой Замчаловская ОАО «Замчаловский антрацит», ОАО « Сулинуголь». </w:t>
      </w:r>
      <w:r>
        <w:rPr>
          <w:color w:val="000000"/>
        </w:rPr>
        <w:t>На  территории сельского поселения расположены так же действующие  сельскохозяйственные предприятия,</w:t>
      </w:r>
      <w:r>
        <w:rPr>
          <w:rStyle w:val="11"/>
        </w:rPr>
        <w:t xml:space="preserve"> это ЗАО ПТФ «Красносулинская» специализирующуюся на выращивании мяса птицы  и  филиал Молоканский   Агрофирма «Топаз» (выращивание зерновых)</w:t>
      </w:r>
    </w:p>
    <w:p>
      <w:pPr>
        <w:pStyle w:val="BodyText"/>
        <w:spacing w:before="0" w:after="0"/>
        <w:ind w:firstLine="709"/>
        <w:jc w:val="both"/>
        <w:rPr>
          <w:rStyle w:val="11"/>
        </w:rPr>
      </w:pPr>
      <w:r>
        <w:rPr/>
      </w:r>
    </w:p>
    <w:p>
      <w:pPr>
        <w:pStyle w:val="BodyText"/>
        <w:spacing w:before="0" w:after="0"/>
        <w:ind w:firstLine="709"/>
        <w:jc w:val="both"/>
        <w:rPr>
          <w:rStyle w:val="11"/>
        </w:rPr>
      </w:pPr>
      <w:r>
        <w:rPr>
          <w:rStyle w:val="11"/>
        </w:rPr>
        <w:t>Структура экономики Долотинского сельского поселения  и Красносулинского района выглядит следующим образом:</w:t>
      </w:r>
    </w:p>
    <w:p>
      <w:pPr>
        <w:pStyle w:val="BodyText"/>
        <w:spacing w:before="0" w:after="0"/>
        <w:ind w:firstLine="709"/>
        <w:jc w:val="both"/>
        <w:rPr>
          <w:rStyle w:val="11"/>
        </w:rPr>
      </w:pPr>
      <w:r>
        <w:rPr>
          <w:rStyle w:val="11"/>
          <w:rFonts w:eastAsia="Symbol" w:cs="Symbol" w:ascii="Symbol" w:hAnsi="Symbol"/>
        </w:rPr>
        <w:sym w:font="Symbol" w:char="f0b7"/>
      </w:r>
      <w:r>
        <w:rPr>
          <w:rStyle w:val="11"/>
        </w:rPr>
        <w:t xml:space="preserve"> </w:t>
      </w:r>
      <w:r>
        <w:rPr>
          <w:rStyle w:val="11"/>
        </w:rPr>
        <w:t>промышленность – 15 %;</w:t>
      </w:r>
    </w:p>
    <w:p>
      <w:pPr>
        <w:pStyle w:val="BodyText"/>
        <w:spacing w:before="0" w:after="0"/>
        <w:ind w:firstLine="709"/>
        <w:jc w:val="both"/>
        <w:rPr>
          <w:rStyle w:val="11"/>
        </w:rPr>
      </w:pPr>
      <w:r>
        <w:rPr>
          <w:rStyle w:val="11"/>
          <w:rFonts w:eastAsia="Symbol" w:cs="Symbol" w:ascii="Symbol" w:hAnsi="Symbol"/>
        </w:rPr>
        <w:sym w:font="Symbol" w:char="f0b7"/>
      </w:r>
      <w:r>
        <w:rPr>
          <w:rStyle w:val="11"/>
        </w:rPr>
        <w:t xml:space="preserve"> </w:t>
      </w:r>
      <w:r>
        <w:rPr>
          <w:rStyle w:val="11"/>
        </w:rPr>
        <w:t>сельское хозяйство – 83 %;</w:t>
      </w:r>
    </w:p>
    <w:p>
      <w:pPr>
        <w:pStyle w:val="BodyText"/>
        <w:spacing w:before="0" w:after="0"/>
        <w:ind w:firstLine="709"/>
        <w:jc w:val="both"/>
        <w:rPr>
          <w:rStyle w:val="11"/>
        </w:rPr>
      </w:pPr>
      <w:r>
        <w:rPr>
          <w:rStyle w:val="11"/>
          <w:rFonts w:eastAsia="Symbol" w:cs="Symbol" w:ascii="Symbol" w:hAnsi="Symbol"/>
        </w:rPr>
        <w:sym w:font="Symbol" w:char="f0b7"/>
      </w:r>
      <w:r>
        <w:rPr>
          <w:rStyle w:val="11"/>
        </w:rPr>
        <w:t xml:space="preserve"> </w:t>
      </w:r>
      <w:r>
        <w:rPr>
          <w:rStyle w:val="11"/>
        </w:rPr>
        <w:t>торговля и общественное питание – 1,2%;</w:t>
      </w:r>
    </w:p>
    <w:p>
      <w:pPr>
        <w:pStyle w:val="BodyText"/>
        <w:spacing w:before="0" w:after="0"/>
        <w:ind w:firstLine="709"/>
        <w:jc w:val="both"/>
        <w:rPr>
          <w:rStyle w:val="11"/>
        </w:rPr>
      </w:pPr>
      <w:r>
        <w:rPr>
          <w:rStyle w:val="11"/>
          <w:rFonts w:eastAsia="Symbol" w:cs="Symbol" w:ascii="Symbol" w:hAnsi="Symbol"/>
        </w:rPr>
        <w:sym w:font="Symbol" w:char="f0b7"/>
      </w:r>
      <w:r>
        <w:rPr>
          <w:rStyle w:val="11"/>
        </w:rPr>
        <w:t xml:space="preserve"> </w:t>
      </w:r>
      <w:r>
        <w:rPr>
          <w:rStyle w:val="11"/>
        </w:rPr>
        <w:t>на остальные отрасли приходится 0,8 %.</w:t>
      </w:r>
    </w:p>
    <w:p>
      <w:pPr>
        <w:pStyle w:val="Normal"/>
        <w:rPr/>
      </w:pPr>
      <w:r>
        <w:rPr>
          <w:rStyle w:val="11"/>
        </w:rPr>
        <w:t xml:space="preserve">В поселении действует 11 фермерских хозяйств, которые имеют в основном растениеводческое направление. На территории поселения имеется </w:t>
      </w:r>
      <w:r>
        <w:rPr/>
        <w:t xml:space="preserve">8949,41 га. сельхозугодий из них 5983,22 на  которых </w:t>
      </w:r>
      <w:r>
        <w:rPr>
          <w:rStyle w:val="11"/>
        </w:rPr>
        <w:t>выращивается подсолнечник, зерновые, бахчевые культуры и овощи.</w:t>
      </w:r>
    </w:p>
    <w:p>
      <w:pPr>
        <w:pStyle w:val="Normal"/>
        <w:jc w:val="center"/>
        <w:rPr/>
      </w:pPr>
      <w:r>
        <w:rPr/>
      </w:r>
    </w:p>
    <w:p>
      <w:pPr>
        <w:pStyle w:val="Normal"/>
        <w:jc w:val="center"/>
        <w:rPr/>
      </w:pPr>
      <w:r>
        <w:rPr/>
      </w:r>
    </w:p>
    <w:p>
      <w:pPr>
        <w:pStyle w:val="BodyText"/>
        <w:spacing w:before="0" w:after="0"/>
        <w:jc w:val="both"/>
        <w:rPr>
          <w:rStyle w:val="11"/>
        </w:rPr>
      </w:pPr>
      <w:r>
        <w:rPr>
          <w:rStyle w:val="11"/>
        </w:rPr>
        <w:t>Помимо сельхозпредприятий важную роль в аграрной деятельности играют личные подсобные хозяйства населения (ЛПХ). Таблица 1.2.3.</w:t>
      </w:r>
    </w:p>
    <w:p>
      <w:pPr>
        <w:pStyle w:val="BodyText"/>
        <w:spacing w:before="0" w:after="0"/>
        <w:ind w:firstLine="709"/>
        <w:jc w:val="both"/>
        <w:rPr>
          <w:rStyle w:val="11"/>
        </w:rPr>
      </w:pPr>
      <w:r>
        <w:rPr>
          <w:rStyle w:val="11"/>
        </w:rPr>
        <w:t>В таблице 1.2.2. приводится перечень всех организаций муниципального образования «Долотинское сельское поселение».</w:t>
      </w:r>
    </w:p>
    <w:p>
      <w:pPr>
        <w:pStyle w:val="BodyText"/>
        <w:spacing w:before="0" w:after="0"/>
        <w:ind w:firstLine="709"/>
        <w:jc w:val="right"/>
        <w:rPr>
          <w:rStyle w:val="11"/>
        </w:rPr>
      </w:pPr>
      <w:r>
        <w:rPr>
          <w:rStyle w:val="11"/>
        </w:rPr>
        <w:t xml:space="preserve">Таблица 1.2.2. </w:t>
      </w:r>
    </w:p>
    <w:tbl>
      <w:tblPr>
        <w:tblW w:w="10074" w:type="dxa"/>
        <w:jc w:val="left"/>
        <w:tblInd w:w="-743" w:type="dxa"/>
        <w:tblLayout w:type="fixed"/>
        <w:tblCellMar>
          <w:top w:w="0" w:type="dxa"/>
          <w:left w:w="108" w:type="dxa"/>
          <w:bottom w:w="0" w:type="dxa"/>
          <w:right w:w="108" w:type="dxa"/>
        </w:tblCellMar>
        <w:tblLook w:firstRow="0" w:noVBand="0" w:lastRow="0" w:firstColumn="0" w:lastColumn="0" w:noHBand="0" w:val="0000"/>
      </w:tblPr>
      <w:tblGrid>
        <w:gridCol w:w="560"/>
        <w:gridCol w:w="2270"/>
        <w:gridCol w:w="3780"/>
        <w:gridCol w:w="1621"/>
        <w:gridCol w:w="1843"/>
      </w:tblGrid>
      <w:tr>
        <w:trPr>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 xml:space="preserve">№ </w:t>
            </w:r>
            <w:r>
              <w:rPr>
                <w:b/>
              </w:rPr>
              <w:t>п/п</w:t>
            </w:r>
          </w:p>
        </w:tc>
        <w:tc>
          <w:tcPr>
            <w:tcW w:w="2270"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Наименование</w:t>
            </w:r>
          </w:p>
        </w:tc>
        <w:tc>
          <w:tcPr>
            <w:tcW w:w="3780"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Юридический адрес, Ф.И.О. руководителя, телефон</w:t>
            </w:r>
          </w:p>
        </w:tc>
        <w:tc>
          <w:tcPr>
            <w:tcW w:w="1621"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Количество работающих</w:t>
            </w:r>
          </w:p>
        </w:tc>
        <w:tc>
          <w:tcPr>
            <w:tcW w:w="1843"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Основной вид деятельности</w:t>
            </w:r>
          </w:p>
        </w:tc>
      </w:tr>
      <w:tr>
        <w:trPr>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rPr/>
            </w:pPr>
            <w:r>
              <w:rPr/>
              <w:t>1</w:t>
            </w:r>
          </w:p>
        </w:tc>
        <w:tc>
          <w:tcPr>
            <w:tcW w:w="2270" w:type="dxa"/>
            <w:tcBorders>
              <w:top w:val="single" w:sz="4" w:space="0" w:color="000000"/>
              <w:left w:val="single" w:sz="4" w:space="0" w:color="000000"/>
              <w:bottom w:val="single" w:sz="4" w:space="0" w:color="000000"/>
              <w:right w:val="single" w:sz="4" w:space="0" w:color="000000"/>
            </w:tcBorders>
          </w:tcPr>
          <w:p>
            <w:pPr>
              <w:pStyle w:val="Normal"/>
              <w:rPr/>
            </w:pPr>
            <w:r>
              <w:rPr/>
              <w:t>ЗАО ПТФ</w:t>
            </w:r>
          </w:p>
          <w:p>
            <w:pPr>
              <w:pStyle w:val="Normal"/>
              <w:rPr/>
            </w:pPr>
            <w:r>
              <w:rPr/>
              <w:t>«Красносулинская»</w:t>
            </w:r>
          </w:p>
        </w:tc>
        <w:tc>
          <w:tcPr>
            <w:tcW w:w="3780" w:type="dxa"/>
            <w:tcBorders>
              <w:top w:val="single" w:sz="4" w:space="0" w:color="000000"/>
              <w:left w:val="single" w:sz="4" w:space="0" w:color="000000"/>
              <w:bottom w:val="single" w:sz="4" w:space="0" w:color="000000"/>
              <w:right w:val="single" w:sz="4" w:space="0" w:color="000000"/>
            </w:tcBorders>
          </w:tcPr>
          <w:p>
            <w:pPr>
              <w:pStyle w:val="Normal"/>
              <w:rPr/>
            </w:pPr>
            <w:r>
              <w:rPr/>
              <w:t>Ростовская обл., Красносулинский р-н.</w:t>
            </w:r>
          </w:p>
          <w:p>
            <w:pPr>
              <w:pStyle w:val="Normal"/>
              <w:rPr/>
            </w:pPr>
            <w:r>
              <w:rPr/>
              <w:t>х.Молаканский</w:t>
            </w:r>
          </w:p>
          <w:p>
            <w:pPr>
              <w:pStyle w:val="Normal"/>
              <w:rPr/>
            </w:pPr>
            <w:r>
              <w:rPr/>
              <w:t>Коваленко</w:t>
            </w:r>
          </w:p>
          <w:p>
            <w:pPr>
              <w:pStyle w:val="Normal"/>
              <w:rPr/>
            </w:pPr>
            <w:r>
              <w:rPr/>
              <w:t>Сергей</w:t>
            </w:r>
          </w:p>
          <w:p>
            <w:pPr>
              <w:pStyle w:val="Normal"/>
              <w:rPr/>
            </w:pPr>
            <w:r>
              <w:rPr/>
              <w:t>Владимирович</w:t>
            </w:r>
          </w:p>
          <w:p>
            <w:pPr>
              <w:pStyle w:val="Normal"/>
              <w:rPr/>
            </w:pPr>
            <w:r>
              <w:rPr/>
              <w:t>88635524267</w:t>
            </w:r>
          </w:p>
        </w:tc>
        <w:tc>
          <w:tcPr>
            <w:tcW w:w="1621" w:type="dxa"/>
            <w:tcBorders>
              <w:top w:val="single" w:sz="4" w:space="0" w:color="000000"/>
              <w:left w:val="single" w:sz="4" w:space="0" w:color="000000"/>
              <w:bottom w:val="single" w:sz="4" w:space="0" w:color="000000"/>
              <w:right w:val="single" w:sz="4" w:space="0" w:color="000000"/>
            </w:tcBorders>
          </w:tcPr>
          <w:p>
            <w:pPr>
              <w:pStyle w:val="Normal"/>
              <w:jc w:val="center"/>
              <w:rPr/>
            </w:pPr>
            <w:r>
              <w:rPr/>
              <w:t>250</w:t>
            </w:r>
          </w:p>
        </w:tc>
        <w:tc>
          <w:tcPr>
            <w:tcW w:w="1843" w:type="dxa"/>
            <w:tcBorders>
              <w:top w:val="single" w:sz="4" w:space="0" w:color="000000"/>
              <w:left w:val="single" w:sz="4" w:space="0" w:color="000000"/>
              <w:bottom w:val="single" w:sz="4" w:space="0" w:color="000000"/>
              <w:right w:val="single" w:sz="4" w:space="0" w:color="000000"/>
            </w:tcBorders>
          </w:tcPr>
          <w:p>
            <w:pPr>
              <w:pStyle w:val="Normal"/>
              <w:rPr/>
            </w:pPr>
            <w:r>
              <w:rPr/>
              <w:t>Продукция птицеводства</w:t>
            </w:r>
          </w:p>
        </w:tc>
      </w:tr>
      <w:tr>
        <w:trPr>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rPr/>
            </w:pPr>
            <w:r>
              <w:rPr/>
              <w:t>2</w:t>
            </w:r>
          </w:p>
        </w:tc>
        <w:tc>
          <w:tcPr>
            <w:tcW w:w="2270" w:type="dxa"/>
            <w:tcBorders>
              <w:top w:val="single" w:sz="4" w:space="0" w:color="000000"/>
              <w:left w:val="single" w:sz="4" w:space="0" w:color="000000"/>
              <w:bottom w:val="single" w:sz="4" w:space="0" w:color="000000"/>
              <w:right w:val="single" w:sz="4" w:space="0" w:color="000000"/>
            </w:tcBorders>
          </w:tcPr>
          <w:p>
            <w:pPr>
              <w:pStyle w:val="Normal"/>
              <w:rPr/>
            </w:pPr>
            <w:r>
              <w:rPr/>
              <w:t>Шахта «Замчаловская» - ОАО Замчаловский антрацит</w:t>
            </w:r>
          </w:p>
        </w:tc>
        <w:tc>
          <w:tcPr>
            <w:tcW w:w="3780" w:type="dxa"/>
            <w:tcBorders>
              <w:top w:val="single" w:sz="4" w:space="0" w:color="000000"/>
              <w:left w:val="single" w:sz="4" w:space="0" w:color="000000"/>
              <w:bottom w:val="single" w:sz="4" w:space="0" w:color="000000"/>
              <w:right w:val="single" w:sz="4" w:space="0" w:color="000000"/>
            </w:tcBorders>
          </w:tcPr>
          <w:p>
            <w:pPr>
              <w:pStyle w:val="Normal"/>
              <w:rPr/>
            </w:pPr>
            <w:r>
              <w:rPr/>
              <w:t>Ростовская обл., г. Гуково, п.Алмазный</w:t>
            </w:r>
          </w:p>
          <w:p>
            <w:pPr>
              <w:pStyle w:val="Normal"/>
              <w:rPr/>
            </w:pPr>
            <w:r>
              <w:rPr/>
              <w:t>Нисенгольцев</w:t>
            </w:r>
          </w:p>
          <w:p>
            <w:pPr>
              <w:pStyle w:val="Normal"/>
              <w:rPr/>
            </w:pPr>
            <w:r>
              <w:rPr/>
              <w:t xml:space="preserve">Анатолий </w:t>
            </w:r>
          </w:p>
          <w:p>
            <w:pPr>
              <w:pStyle w:val="Normal"/>
              <w:rPr/>
            </w:pPr>
            <w:r>
              <w:rPr/>
              <w:t>Михайлович</w:t>
            </w:r>
          </w:p>
          <w:p>
            <w:pPr>
              <w:pStyle w:val="Normal"/>
              <w:rPr/>
            </w:pPr>
            <w:r>
              <w:rPr/>
              <w:t>88636138477</w:t>
            </w:r>
          </w:p>
        </w:tc>
        <w:tc>
          <w:tcPr>
            <w:tcW w:w="1621" w:type="dxa"/>
            <w:tcBorders>
              <w:top w:val="single" w:sz="4" w:space="0" w:color="000000"/>
              <w:left w:val="single" w:sz="4" w:space="0" w:color="000000"/>
              <w:bottom w:val="single" w:sz="4" w:space="0" w:color="000000"/>
              <w:right w:val="single" w:sz="4" w:space="0" w:color="000000"/>
            </w:tcBorders>
          </w:tcPr>
          <w:p>
            <w:pPr>
              <w:pStyle w:val="Normal"/>
              <w:jc w:val="center"/>
              <w:rPr/>
            </w:pPr>
            <w:r>
              <w:rPr/>
              <w:t>839</w:t>
            </w:r>
          </w:p>
        </w:tc>
        <w:tc>
          <w:tcPr>
            <w:tcW w:w="1843" w:type="dxa"/>
            <w:tcBorders>
              <w:top w:val="single" w:sz="4" w:space="0" w:color="000000"/>
              <w:left w:val="single" w:sz="4" w:space="0" w:color="000000"/>
              <w:bottom w:val="single" w:sz="4" w:space="0" w:color="000000"/>
              <w:right w:val="single" w:sz="4" w:space="0" w:color="000000"/>
            </w:tcBorders>
          </w:tcPr>
          <w:p>
            <w:pPr>
              <w:pStyle w:val="Normal"/>
              <w:rPr/>
            </w:pPr>
            <w:r>
              <w:rPr/>
              <w:t>Добыча угля</w:t>
            </w:r>
          </w:p>
        </w:tc>
      </w:tr>
      <w:tr>
        <w:trPr>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70" w:type="dxa"/>
            <w:tcBorders>
              <w:top w:val="single" w:sz="4" w:space="0" w:color="000000"/>
              <w:left w:val="single" w:sz="4" w:space="0" w:color="000000"/>
              <w:bottom w:val="single" w:sz="4" w:space="0" w:color="000000"/>
              <w:right w:val="single" w:sz="4" w:space="0" w:color="000000"/>
            </w:tcBorders>
          </w:tcPr>
          <w:p>
            <w:pPr>
              <w:pStyle w:val="Normal"/>
              <w:rPr/>
            </w:pPr>
            <w:r>
              <w:rPr/>
              <w:t>Филиал «Молаканский» ООО агрофирма «Топаз»</w:t>
            </w:r>
          </w:p>
          <w:p>
            <w:pPr>
              <w:pStyle w:val="Normal"/>
              <w:rPr/>
            </w:pPr>
            <w:r>
              <w:rPr/>
              <w:t xml:space="preserve"> </w:t>
            </w:r>
            <w:r>
              <w:rPr/>
              <w:t>(ООО «Россия»)</w:t>
            </w:r>
          </w:p>
        </w:tc>
        <w:tc>
          <w:tcPr>
            <w:tcW w:w="3780" w:type="dxa"/>
            <w:tcBorders>
              <w:top w:val="single" w:sz="4" w:space="0" w:color="000000"/>
              <w:left w:val="single" w:sz="4" w:space="0" w:color="000000"/>
              <w:bottom w:val="single" w:sz="4" w:space="0" w:color="000000"/>
              <w:right w:val="single" w:sz="4" w:space="0" w:color="000000"/>
            </w:tcBorders>
          </w:tcPr>
          <w:p>
            <w:pPr>
              <w:pStyle w:val="Normal"/>
              <w:rPr/>
            </w:pPr>
            <w:r>
              <w:rPr/>
              <w:t>Ростовская обл.</w:t>
            </w:r>
          </w:p>
          <w:p>
            <w:pPr>
              <w:pStyle w:val="Normal"/>
              <w:rPr/>
            </w:pPr>
            <w:r>
              <w:rPr/>
              <w:t>Красносулинский р-н</w:t>
            </w:r>
          </w:p>
          <w:p>
            <w:pPr>
              <w:pStyle w:val="Normal"/>
              <w:rPr/>
            </w:pPr>
            <w:r>
              <w:rPr/>
              <w:t>х.Молаканский</w:t>
            </w:r>
          </w:p>
          <w:p>
            <w:pPr>
              <w:pStyle w:val="Normal"/>
              <w:rPr/>
            </w:pPr>
            <w:r>
              <w:rPr/>
              <w:t>Меркулов Александр Павлович</w:t>
            </w:r>
          </w:p>
          <w:p>
            <w:pPr>
              <w:pStyle w:val="Normal"/>
              <w:rPr/>
            </w:pPr>
            <w:r>
              <w:rPr/>
              <w:t>88635542455</w:t>
            </w:r>
          </w:p>
        </w:tc>
        <w:tc>
          <w:tcPr>
            <w:tcW w:w="1621" w:type="dxa"/>
            <w:tcBorders>
              <w:top w:val="single" w:sz="4" w:space="0" w:color="000000"/>
              <w:left w:val="single" w:sz="4" w:space="0" w:color="000000"/>
              <w:bottom w:val="single" w:sz="4" w:space="0" w:color="000000"/>
              <w:right w:val="single" w:sz="4" w:space="0" w:color="000000"/>
            </w:tcBorders>
          </w:tcPr>
          <w:p>
            <w:pPr>
              <w:pStyle w:val="Normal"/>
              <w:jc w:val="center"/>
              <w:rPr/>
            </w:pPr>
            <w:r>
              <w:rPr/>
              <w:t>57</w:t>
            </w:r>
          </w:p>
        </w:tc>
        <w:tc>
          <w:tcPr>
            <w:tcW w:w="1843" w:type="dxa"/>
            <w:tcBorders>
              <w:top w:val="single" w:sz="4" w:space="0" w:color="000000"/>
              <w:left w:val="single" w:sz="4" w:space="0" w:color="000000"/>
              <w:bottom w:val="single" w:sz="4" w:space="0" w:color="000000"/>
              <w:right w:val="single" w:sz="4" w:space="0" w:color="000000"/>
            </w:tcBorders>
          </w:tcPr>
          <w:p>
            <w:pPr>
              <w:pStyle w:val="Normal"/>
              <w:rPr/>
            </w:pPr>
            <w:r>
              <w:rPr/>
              <w:t>Выращивание с/х продукции</w:t>
            </w:r>
          </w:p>
        </w:tc>
      </w:tr>
      <w:tr>
        <w:trPr>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70" w:type="dxa"/>
            <w:tcBorders>
              <w:top w:val="single" w:sz="4" w:space="0" w:color="000000"/>
              <w:left w:val="single" w:sz="4" w:space="0" w:color="000000"/>
              <w:bottom w:val="single" w:sz="4" w:space="0" w:color="000000"/>
              <w:right w:val="single" w:sz="4" w:space="0" w:color="000000"/>
            </w:tcBorders>
          </w:tcPr>
          <w:p>
            <w:pPr>
              <w:pStyle w:val="Normal"/>
              <w:rPr/>
            </w:pPr>
            <w:r>
              <w:rPr/>
              <w:t>ИП Дагаев</w:t>
            </w:r>
          </w:p>
        </w:tc>
        <w:tc>
          <w:tcPr>
            <w:tcW w:w="3780" w:type="dxa"/>
            <w:tcBorders>
              <w:top w:val="single" w:sz="4" w:space="0" w:color="000000"/>
              <w:left w:val="single" w:sz="4" w:space="0" w:color="000000"/>
              <w:bottom w:val="single" w:sz="4" w:space="0" w:color="000000"/>
              <w:right w:val="single" w:sz="4" w:space="0" w:color="000000"/>
            </w:tcBorders>
          </w:tcPr>
          <w:p>
            <w:pPr>
              <w:pStyle w:val="Normal"/>
              <w:rPr/>
            </w:pPr>
            <w:r>
              <w:rPr/>
              <w:t>г.Гуково,</w:t>
            </w:r>
          </w:p>
          <w:p>
            <w:pPr>
              <w:pStyle w:val="Normal"/>
              <w:rPr/>
            </w:pPr>
            <w:r>
              <w:rPr/>
              <w:t>ул. Карла Маркса,82/28</w:t>
            </w:r>
          </w:p>
          <w:p>
            <w:pPr>
              <w:pStyle w:val="Normal"/>
              <w:rPr/>
            </w:pPr>
            <w:r>
              <w:rPr/>
              <w:t xml:space="preserve">Дагаев </w:t>
            </w:r>
          </w:p>
          <w:p>
            <w:pPr>
              <w:pStyle w:val="Normal"/>
              <w:rPr/>
            </w:pPr>
            <w:r>
              <w:rPr/>
              <w:t xml:space="preserve">Олег </w:t>
            </w:r>
          </w:p>
          <w:p>
            <w:pPr>
              <w:pStyle w:val="Normal"/>
              <w:rPr/>
            </w:pPr>
            <w:r>
              <w:rPr/>
              <w:t>Васильевич</w:t>
            </w:r>
          </w:p>
        </w:tc>
        <w:tc>
          <w:tcPr>
            <w:tcW w:w="1621"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1843" w:type="dxa"/>
            <w:tcBorders>
              <w:top w:val="single" w:sz="4" w:space="0" w:color="000000"/>
              <w:left w:val="single" w:sz="4" w:space="0" w:color="000000"/>
              <w:bottom w:val="single" w:sz="4" w:space="0" w:color="000000"/>
              <w:right w:val="single" w:sz="4" w:space="0" w:color="000000"/>
            </w:tcBorders>
          </w:tcPr>
          <w:p>
            <w:pPr>
              <w:pStyle w:val="Normal"/>
              <w:rPr/>
            </w:pPr>
            <w:r>
              <w:rPr/>
              <w:t>Продажа продуктов и промышленных товаров</w:t>
            </w:r>
          </w:p>
        </w:tc>
      </w:tr>
      <w:tr>
        <w:trPr>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70" w:type="dxa"/>
            <w:tcBorders>
              <w:top w:val="single" w:sz="4" w:space="0" w:color="000000"/>
              <w:left w:val="single" w:sz="4" w:space="0" w:color="000000"/>
              <w:bottom w:val="single" w:sz="4" w:space="0" w:color="000000"/>
              <w:right w:val="single" w:sz="4" w:space="0" w:color="000000"/>
            </w:tcBorders>
          </w:tcPr>
          <w:p>
            <w:pPr>
              <w:pStyle w:val="Normal"/>
              <w:rPr/>
            </w:pPr>
            <w:r>
              <w:rPr/>
              <w:t>ИП Петренко</w:t>
            </w:r>
          </w:p>
        </w:tc>
        <w:tc>
          <w:tcPr>
            <w:tcW w:w="3780" w:type="dxa"/>
            <w:tcBorders>
              <w:top w:val="single" w:sz="4" w:space="0" w:color="000000"/>
              <w:left w:val="single" w:sz="4" w:space="0" w:color="000000"/>
              <w:bottom w:val="single" w:sz="4" w:space="0" w:color="000000"/>
              <w:right w:val="single" w:sz="4" w:space="0" w:color="000000"/>
            </w:tcBorders>
          </w:tcPr>
          <w:p>
            <w:pPr>
              <w:pStyle w:val="Normal"/>
              <w:rPr/>
            </w:pPr>
            <w:r>
              <w:rPr/>
              <w:t>Ростовская обл.</w:t>
            </w:r>
          </w:p>
          <w:p>
            <w:pPr>
              <w:pStyle w:val="Normal"/>
              <w:rPr/>
            </w:pPr>
            <w:r>
              <w:rPr/>
              <w:t xml:space="preserve">Красносулинский </w:t>
            </w:r>
          </w:p>
          <w:p>
            <w:pPr>
              <w:pStyle w:val="Normal"/>
              <w:rPr/>
            </w:pPr>
            <w:r>
              <w:rPr/>
              <w:t>р-н, п. Первомайский, ул.Ленина,д.38</w:t>
            </w:r>
          </w:p>
          <w:p>
            <w:pPr>
              <w:pStyle w:val="Normal"/>
              <w:rPr/>
            </w:pPr>
            <w:r>
              <w:rPr/>
              <w:t xml:space="preserve">Петренко </w:t>
            </w:r>
          </w:p>
          <w:p>
            <w:pPr>
              <w:pStyle w:val="Normal"/>
              <w:rPr/>
            </w:pPr>
            <w:r>
              <w:rPr/>
              <w:t xml:space="preserve">Татьяна </w:t>
            </w:r>
          </w:p>
          <w:p>
            <w:pPr>
              <w:pStyle w:val="Normal"/>
              <w:rPr/>
            </w:pPr>
            <w:r>
              <w:rPr/>
              <w:t>Николаевна</w:t>
            </w:r>
          </w:p>
        </w:tc>
        <w:tc>
          <w:tcPr>
            <w:tcW w:w="1621" w:type="dxa"/>
            <w:tcBorders>
              <w:top w:val="single" w:sz="4" w:space="0" w:color="000000"/>
              <w:left w:val="single" w:sz="4" w:space="0" w:color="000000"/>
              <w:bottom w:val="single" w:sz="4" w:space="0" w:color="000000"/>
              <w:right w:val="single" w:sz="4" w:space="0" w:color="000000"/>
            </w:tcBorders>
          </w:tcPr>
          <w:p>
            <w:pPr>
              <w:pStyle w:val="Normal"/>
              <w:jc w:val="center"/>
              <w:rPr/>
            </w:pPr>
            <w:r>
              <w:rPr/>
              <w:t>7</w:t>
            </w:r>
          </w:p>
        </w:tc>
        <w:tc>
          <w:tcPr>
            <w:tcW w:w="1843" w:type="dxa"/>
            <w:tcBorders>
              <w:top w:val="single" w:sz="4" w:space="0" w:color="000000"/>
              <w:left w:val="single" w:sz="4" w:space="0" w:color="000000"/>
              <w:bottom w:val="single" w:sz="4" w:space="0" w:color="000000"/>
              <w:right w:val="single" w:sz="4" w:space="0" w:color="000000"/>
            </w:tcBorders>
          </w:tcPr>
          <w:p>
            <w:pPr>
              <w:pStyle w:val="Normal"/>
              <w:rPr/>
            </w:pPr>
            <w:r>
              <w:rPr/>
              <w:t>Продажа продуктов и промышленных товаров</w:t>
            </w:r>
          </w:p>
        </w:tc>
      </w:tr>
      <w:tr>
        <w:trPr>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70" w:type="dxa"/>
            <w:tcBorders>
              <w:top w:val="single" w:sz="4" w:space="0" w:color="000000"/>
              <w:left w:val="single" w:sz="4" w:space="0" w:color="000000"/>
              <w:bottom w:val="single" w:sz="4" w:space="0" w:color="000000"/>
              <w:right w:val="single" w:sz="4" w:space="0" w:color="000000"/>
            </w:tcBorders>
          </w:tcPr>
          <w:p>
            <w:pPr>
              <w:pStyle w:val="Normal"/>
              <w:rPr/>
            </w:pPr>
            <w:r>
              <w:rPr/>
              <w:t>ИП Дуванов</w:t>
            </w:r>
          </w:p>
        </w:tc>
        <w:tc>
          <w:tcPr>
            <w:tcW w:w="3780" w:type="dxa"/>
            <w:tcBorders>
              <w:top w:val="single" w:sz="4" w:space="0" w:color="000000"/>
              <w:left w:val="single" w:sz="4" w:space="0" w:color="000000"/>
              <w:bottom w:val="single" w:sz="4" w:space="0" w:color="000000"/>
              <w:right w:val="single" w:sz="4" w:space="0" w:color="000000"/>
            </w:tcBorders>
          </w:tcPr>
          <w:p>
            <w:pPr>
              <w:pStyle w:val="Normal"/>
              <w:rPr/>
            </w:pPr>
            <w:r>
              <w:rPr/>
              <w:t>г.Красный Сулин,</w:t>
            </w:r>
          </w:p>
          <w:p>
            <w:pPr>
              <w:pStyle w:val="Normal"/>
              <w:rPr/>
            </w:pPr>
            <w:r>
              <w:rPr/>
              <w:t xml:space="preserve">ул. Парковая,57 </w:t>
            </w:r>
          </w:p>
          <w:p>
            <w:pPr>
              <w:pStyle w:val="Normal"/>
              <w:rPr/>
            </w:pPr>
            <w:r>
              <w:rPr/>
              <w:t>Дуванов Егор</w:t>
            </w:r>
          </w:p>
          <w:p>
            <w:pPr>
              <w:pStyle w:val="Normal"/>
              <w:rPr/>
            </w:pPr>
            <w:r>
              <w:rPr/>
              <w:t xml:space="preserve"> </w:t>
            </w:r>
            <w:r>
              <w:rPr/>
              <w:t>Степанович</w:t>
            </w:r>
          </w:p>
        </w:tc>
        <w:tc>
          <w:tcPr>
            <w:tcW w:w="1621" w:type="dxa"/>
            <w:tcBorders>
              <w:top w:val="single" w:sz="4" w:space="0" w:color="000000"/>
              <w:left w:val="single" w:sz="4" w:space="0" w:color="000000"/>
              <w:bottom w:val="single" w:sz="4" w:space="0" w:color="000000"/>
              <w:right w:val="single" w:sz="4" w:space="0" w:color="000000"/>
            </w:tcBorders>
          </w:tcPr>
          <w:p>
            <w:pPr>
              <w:pStyle w:val="Normal"/>
              <w:rPr/>
            </w:pPr>
            <w:r>
              <w:rPr/>
              <w:t>3</w:t>
            </w:r>
          </w:p>
        </w:tc>
        <w:tc>
          <w:tcPr>
            <w:tcW w:w="1843" w:type="dxa"/>
            <w:tcBorders>
              <w:top w:val="single" w:sz="4" w:space="0" w:color="000000"/>
              <w:left w:val="single" w:sz="4" w:space="0" w:color="000000"/>
              <w:bottom w:val="single" w:sz="4" w:space="0" w:color="000000"/>
              <w:right w:val="single" w:sz="4" w:space="0" w:color="000000"/>
            </w:tcBorders>
          </w:tcPr>
          <w:p>
            <w:pPr>
              <w:pStyle w:val="Normal"/>
              <w:rPr/>
            </w:pPr>
            <w:r>
              <w:rPr/>
              <w:t>Продажа продуктов и промышленных товаров</w:t>
            </w:r>
          </w:p>
        </w:tc>
      </w:tr>
      <w:tr>
        <w:trPr>
          <w:cantSplit w:val="true"/>
        </w:trPr>
        <w:tc>
          <w:tcPr>
            <w:tcW w:w="560" w:type="dxa"/>
            <w:tcBorders>
              <w:top w:val="single" w:sz="4" w:space="0" w:color="000000"/>
              <w:left w:val="single" w:sz="4" w:space="0" w:color="000000"/>
              <w:bottom w:val="single" w:sz="4" w:space="0" w:color="000000"/>
              <w:right w:val="single" w:sz="4" w:space="0" w:color="000000"/>
            </w:tcBorders>
          </w:tcPr>
          <w:p>
            <w:pPr>
              <w:pStyle w:val="Normal"/>
              <w:rPr/>
            </w:pPr>
            <w:r>
              <w:rPr/>
            </w:r>
          </w:p>
        </w:tc>
        <w:tc>
          <w:tcPr>
            <w:tcW w:w="2270" w:type="dxa"/>
            <w:tcBorders>
              <w:top w:val="single" w:sz="4" w:space="0" w:color="000000"/>
              <w:left w:val="single" w:sz="4" w:space="0" w:color="000000"/>
              <w:bottom w:val="single" w:sz="4" w:space="0" w:color="000000"/>
              <w:right w:val="single" w:sz="4" w:space="0" w:color="000000"/>
            </w:tcBorders>
          </w:tcPr>
          <w:p>
            <w:pPr>
              <w:pStyle w:val="Normal"/>
              <w:rPr/>
            </w:pPr>
            <w:r>
              <w:rPr/>
              <w:t>ИП  Антипова</w:t>
            </w:r>
          </w:p>
        </w:tc>
        <w:tc>
          <w:tcPr>
            <w:tcW w:w="3780" w:type="dxa"/>
            <w:tcBorders>
              <w:top w:val="single" w:sz="4" w:space="0" w:color="000000"/>
              <w:left w:val="single" w:sz="4" w:space="0" w:color="000000"/>
              <w:bottom w:val="single" w:sz="4" w:space="0" w:color="000000"/>
              <w:right w:val="single" w:sz="4" w:space="0" w:color="000000"/>
            </w:tcBorders>
          </w:tcPr>
          <w:p>
            <w:pPr>
              <w:pStyle w:val="Normal"/>
              <w:rPr/>
            </w:pPr>
            <w:r>
              <w:rPr/>
              <w:t xml:space="preserve">Ростовская обл. Красносулинский </w:t>
            </w:r>
          </w:p>
          <w:p>
            <w:pPr>
              <w:pStyle w:val="Normal"/>
              <w:rPr/>
            </w:pPr>
            <w:r>
              <w:rPr/>
              <w:t>р-н, п. Первомайский, ул.Ленина,д.40</w:t>
            </w:r>
          </w:p>
          <w:p>
            <w:pPr>
              <w:pStyle w:val="Normal"/>
              <w:rPr/>
            </w:pPr>
            <w:r>
              <w:rPr/>
              <w:t>Антипова Раиса</w:t>
            </w:r>
          </w:p>
          <w:p>
            <w:pPr>
              <w:pStyle w:val="Normal"/>
              <w:rPr/>
            </w:pPr>
            <w:r>
              <w:rPr/>
              <w:t>Алексеевна</w:t>
            </w:r>
          </w:p>
        </w:tc>
        <w:tc>
          <w:tcPr>
            <w:tcW w:w="1621" w:type="dxa"/>
            <w:tcBorders>
              <w:top w:val="single" w:sz="4" w:space="0" w:color="000000"/>
              <w:left w:val="single" w:sz="4" w:space="0" w:color="000000"/>
              <w:bottom w:val="single" w:sz="4" w:space="0" w:color="000000"/>
              <w:right w:val="single" w:sz="4" w:space="0" w:color="000000"/>
            </w:tcBorders>
          </w:tcPr>
          <w:p>
            <w:pPr>
              <w:pStyle w:val="Normal"/>
              <w:rPr/>
            </w:pPr>
            <w:r>
              <w:rPr/>
              <w:t>5</w:t>
            </w:r>
          </w:p>
        </w:tc>
        <w:tc>
          <w:tcPr>
            <w:tcW w:w="1843" w:type="dxa"/>
            <w:tcBorders>
              <w:top w:val="single" w:sz="4" w:space="0" w:color="000000"/>
              <w:left w:val="single" w:sz="4" w:space="0" w:color="000000"/>
              <w:bottom w:val="single" w:sz="4" w:space="0" w:color="000000"/>
              <w:right w:val="single" w:sz="4" w:space="0" w:color="000000"/>
            </w:tcBorders>
          </w:tcPr>
          <w:p>
            <w:pPr>
              <w:pStyle w:val="Normal"/>
              <w:rPr/>
            </w:pPr>
            <w:r>
              <w:rPr/>
              <w:t>Продажа продуктов и промышленных товаров</w:t>
            </w:r>
          </w:p>
        </w:tc>
      </w:tr>
    </w:tbl>
    <w:p>
      <w:pPr>
        <w:pStyle w:val="BodyText"/>
        <w:spacing w:before="0" w:after="0"/>
        <w:jc w:val="both"/>
        <w:rPr>
          <w:rStyle w:val="11"/>
        </w:rPr>
      </w:pPr>
      <w:r>
        <w:rPr/>
      </w:r>
    </w:p>
    <w:tbl>
      <w:tblPr>
        <w:tblpPr w:vertAnchor="text" w:horzAnchor="margin" w:tblpXSpec="center" w:leftFromText="180" w:rightFromText="180" w:tblpY="2189"/>
        <w:tblW w:w="5000" w:type="pct"/>
        <w:jc w:val="center"/>
        <w:tblInd w:w="0" w:type="dxa"/>
        <w:tblLayout w:type="fixed"/>
        <w:tblCellMar>
          <w:top w:w="0" w:type="dxa"/>
          <w:left w:w="5" w:type="dxa"/>
          <w:bottom w:w="0" w:type="dxa"/>
          <w:right w:w="0" w:type="dxa"/>
        </w:tblCellMar>
        <w:tblLook w:firstRow="0" w:noVBand="0" w:lastRow="0" w:firstColumn="0" w:lastColumn="0" w:noHBand="0" w:val="0000"/>
      </w:tblPr>
      <w:tblGrid>
        <w:gridCol w:w="2673"/>
        <w:gridCol w:w="1144"/>
        <w:gridCol w:w="1145"/>
        <w:gridCol w:w="1526"/>
        <w:gridCol w:w="1334"/>
        <w:gridCol w:w="1336"/>
        <w:gridCol w:w="762"/>
      </w:tblGrid>
      <w:tr>
        <w:trPr>
          <w:trHeight w:val="339" w:hRule="exact"/>
          <w:cantSplit w:val="true"/>
        </w:trPr>
        <w:tc>
          <w:tcPr>
            <w:tcW w:w="2673" w:type="dxa"/>
            <w:vMerge w:val="restart"/>
            <w:tcBorders>
              <w:top w:val="single" w:sz="4" w:space="0" w:color="000000"/>
              <w:left w:val="single" w:sz="4" w:space="0" w:color="000000"/>
              <w:bottom w:val="single" w:sz="4" w:space="0" w:color="000000"/>
            </w:tcBorders>
            <w:vAlign w:val="center"/>
          </w:tcPr>
          <w:p>
            <w:pPr>
              <w:pStyle w:val="BodyText"/>
              <w:spacing w:before="0" w:after="0"/>
              <w:ind w:firstLine="5"/>
              <w:jc w:val="center"/>
              <w:rPr>
                <w:rStyle w:val="11"/>
              </w:rPr>
            </w:pPr>
            <w:r>
              <w:rPr>
                <w:rStyle w:val="11"/>
              </w:rPr>
              <w:t>Наименование характеристики</w:t>
            </w:r>
          </w:p>
        </w:tc>
        <w:tc>
          <w:tcPr>
            <w:tcW w:w="6485" w:type="dxa"/>
            <w:gridSpan w:val="5"/>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Style w:val="11"/>
              </w:rPr>
            </w:pPr>
            <w:r>
              <w:rPr>
                <w:rStyle w:val="11"/>
              </w:rPr>
              <w:t>Населенные пункты</w:t>
            </w:r>
          </w:p>
        </w:tc>
        <w:tc>
          <w:tcPr>
            <w:tcW w:w="762" w:type="dxa"/>
            <w:vMerge w:val="restart"/>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Style w:val="11"/>
              </w:rPr>
            </w:pPr>
            <w:r>
              <w:rPr>
                <w:rStyle w:val="11"/>
              </w:rPr>
              <w:t>Всего</w:t>
            </w:r>
          </w:p>
        </w:tc>
      </w:tr>
      <w:tr>
        <w:trPr>
          <w:trHeight w:val="92" w:hRule="atLeast"/>
          <w:cantSplit w:val="true"/>
        </w:trPr>
        <w:tc>
          <w:tcPr>
            <w:tcW w:w="2673" w:type="dxa"/>
            <w:vMerge w:val="continue"/>
            <w:tcBorders>
              <w:top w:val="single" w:sz="4" w:space="0" w:color="000000"/>
              <w:left w:val="single" w:sz="4" w:space="0" w:color="000000"/>
              <w:bottom w:val="single" w:sz="4" w:space="0" w:color="000000"/>
            </w:tcBorders>
            <w:vAlign w:val="center"/>
          </w:tcPr>
          <w:p>
            <w:pPr>
              <w:pStyle w:val="BodyText"/>
              <w:spacing w:before="0" w:after="0"/>
              <w:ind w:firstLine="709"/>
              <w:jc w:val="center"/>
              <w:rPr>
                <w:rStyle w:val="11"/>
              </w:rPr>
            </w:pPr>
            <w:r>
              <w:rPr/>
            </w:r>
          </w:p>
        </w:tc>
        <w:tc>
          <w:tcPr>
            <w:tcW w:w="1144" w:type="dxa"/>
            <w:tcBorders>
              <w:top w:val="single" w:sz="4" w:space="0" w:color="000000"/>
              <w:left w:val="single" w:sz="4" w:space="0" w:color="000000"/>
              <w:bottom w:val="single" w:sz="4" w:space="0" w:color="000000"/>
            </w:tcBorders>
            <w:vAlign w:val="center"/>
          </w:tcPr>
          <w:p>
            <w:pPr>
              <w:pStyle w:val="BodyText"/>
              <w:spacing w:before="0" w:after="0"/>
              <w:jc w:val="center"/>
              <w:rPr>
                <w:rStyle w:val="11"/>
              </w:rPr>
            </w:pPr>
            <w:r>
              <w:rPr>
                <w:rStyle w:val="11"/>
              </w:rPr>
              <w:t xml:space="preserve">х. Молаканский </w:t>
            </w:r>
          </w:p>
        </w:tc>
        <w:tc>
          <w:tcPr>
            <w:tcW w:w="1145" w:type="dxa"/>
            <w:tcBorders>
              <w:top w:val="single" w:sz="4" w:space="0" w:color="000000"/>
              <w:left w:val="single" w:sz="4" w:space="0" w:color="000000"/>
              <w:bottom w:val="single" w:sz="4" w:space="0" w:color="000000"/>
              <w:right w:val="single" w:sz="4" w:space="0" w:color="000000"/>
            </w:tcBorders>
          </w:tcPr>
          <w:p>
            <w:pPr>
              <w:pStyle w:val="BodyText"/>
              <w:spacing w:before="0" w:after="0"/>
              <w:jc w:val="center"/>
              <w:rPr>
                <w:rStyle w:val="11"/>
              </w:rPr>
            </w:pPr>
            <w:r>
              <w:rPr>
                <w:rStyle w:val="11"/>
              </w:rPr>
              <w:t>пос. Первомайский</w:t>
            </w:r>
          </w:p>
        </w:tc>
        <w:tc>
          <w:tcPr>
            <w:tcW w:w="1526" w:type="dxa"/>
            <w:tcBorders>
              <w:top w:val="single" w:sz="4" w:space="0" w:color="000000"/>
              <w:left w:val="single" w:sz="4" w:space="0" w:color="000000"/>
              <w:bottom w:val="single" w:sz="4" w:space="0" w:color="000000"/>
            </w:tcBorders>
            <w:vAlign w:val="center"/>
          </w:tcPr>
          <w:p>
            <w:pPr>
              <w:pStyle w:val="BodyText"/>
              <w:spacing w:before="0" w:after="0"/>
              <w:jc w:val="center"/>
              <w:rPr>
                <w:rStyle w:val="11"/>
              </w:rPr>
            </w:pPr>
            <w:r>
              <w:rPr>
                <w:rStyle w:val="11"/>
              </w:rPr>
              <w:t>х. Долотинка</w:t>
            </w:r>
          </w:p>
        </w:tc>
        <w:tc>
          <w:tcPr>
            <w:tcW w:w="1334" w:type="dxa"/>
            <w:tcBorders>
              <w:top w:val="single" w:sz="4" w:space="0" w:color="000000"/>
              <w:left w:val="single" w:sz="4" w:space="0" w:color="000000"/>
              <w:bottom w:val="single" w:sz="4" w:space="0" w:color="000000"/>
            </w:tcBorders>
            <w:vAlign w:val="center"/>
          </w:tcPr>
          <w:p>
            <w:pPr>
              <w:pStyle w:val="BodyText"/>
              <w:spacing w:before="0" w:after="0"/>
              <w:jc w:val="center"/>
              <w:rPr>
                <w:rStyle w:val="11"/>
              </w:rPr>
            </w:pPr>
            <w:r>
              <w:rPr>
                <w:rStyle w:val="11"/>
              </w:rPr>
              <w:t>х. Водин</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Style w:val="11"/>
              </w:rPr>
            </w:pPr>
            <w:r>
              <w:rPr>
                <w:rStyle w:val="11"/>
              </w:rPr>
              <w:t>х. Большое Зверево</w:t>
            </w:r>
          </w:p>
        </w:tc>
        <w:tc>
          <w:tcPr>
            <w:tcW w:w="762" w:type="dxa"/>
            <w:vMerge w:val="continue"/>
            <w:tcBorders>
              <w:left w:val="single" w:sz="4" w:space="0" w:color="000000"/>
              <w:bottom w:val="single" w:sz="4" w:space="0" w:color="000000"/>
              <w:right w:val="single" w:sz="4" w:space="0" w:color="000000"/>
            </w:tcBorders>
          </w:tcPr>
          <w:p>
            <w:pPr>
              <w:pStyle w:val="BodyText"/>
              <w:spacing w:before="0" w:after="0"/>
              <w:ind w:firstLine="709"/>
              <w:jc w:val="center"/>
              <w:rPr>
                <w:rStyle w:val="11"/>
              </w:rPr>
            </w:pPr>
            <w:r>
              <w:rPr/>
            </w:r>
          </w:p>
        </w:tc>
      </w:tr>
      <w:tr>
        <w:trPr>
          <w:trHeight w:val="394" w:hRule="atLeast"/>
          <w:cantSplit w:val="true"/>
        </w:trPr>
        <w:tc>
          <w:tcPr>
            <w:tcW w:w="2673" w:type="dxa"/>
            <w:tcBorders>
              <w:top w:val="single" w:sz="4" w:space="0" w:color="000000"/>
              <w:left w:val="single" w:sz="4" w:space="0" w:color="000000"/>
              <w:bottom w:val="single" w:sz="4" w:space="0" w:color="000000"/>
            </w:tcBorders>
            <w:vAlign w:val="center"/>
          </w:tcPr>
          <w:p>
            <w:pPr>
              <w:pStyle w:val="BodyText"/>
              <w:spacing w:before="0" w:after="0"/>
              <w:jc w:val="center"/>
              <w:rPr>
                <w:rStyle w:val="11"/>
              </w:rPr>
            </w:pPr>
            <w:r>
              <w:rPr>
                <w:rStyle w:val="11"/>
              </w:rPr>
              <w:t>Количество частных подворий</w:t>
            </w:r>
          </w:p>
        </w:tc>
        <w:tc>
          <w:tcPr>
            <w:tcW w:w="1144" w:type="dxa"/>
            <w:tcBorders>
              <w:top w:val="single" w:sz="4" w:space="0" w:color="000000"/>
              <w:left w:val="single" w:sz="4" w:space="0" w:color="000000"/>
              <w:bottom w:val="single" w:sz="4" w:space="0" w:color="000000"/>
            </w:tcBorders>
            <w:vAlign w:val="center"/>
          </w:tcPr>
          <w:p>
            <w:pPr>
              <w:pStyle w:val="Normal"/>
              <w:jc w:val="center"/>
              <w:rPr/>
            </w:pPr>
            <w:r>
              <w:rPr/>
              <w:t>274</w:t>
            </w:r>
          </w:p>
        </w:tc>
        <w:tc>
          <w:tcPr>
            <w:tcW w:w="1145"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Style w:val="11"/>
              </w:rPr>
            </w:pPr>
            <w:r>
              <w:rPr>
                <w:rStyle w:val="11"/>
              </w:rPr>
              <w:t>98</w:t>
            </w:r>
          </w:p>
        </w:tc>
        <w:tc>
          <w:tcPr>
            <w:tcW w:w="1526" w:type="dxa"/>
            <w:tcBorders>
              <w:top w:val="single" w:sz="4" w:space="0" w:color="000000"/>
              <w:left w:val="single" w:sz="4" w:space="0" w:color="000000"/>
              <w:bottom w:val="single" w:sz="4" w:space="0" w:color="000000"/>
            </w:tcBorders>
            <w:vAlign w:val="center"/>
          </w:tcPr>
          <w:p>
            <w:pPr>
              <w:pStyle w:val="BodyText"/>
              <w:spacing w:before="0" w:after="0"/>
              <w:jc w:val="center"/>
              <w:rPr>
                <w:rStyle w:val="11"/>
              </w:rPr>
            </w:pPr>
            <w:r>
              <w:rPr/>
              <w:t>154</w:t>
            </w:r>
          </w:p>
        </w:tc>
        <w:tc>
          <w:tcPr>
            <w:tcW w:w="1334" w:type="dxa"/>
            <w:tcBorders>
              <w:top w:val="single" w:sz="4" w:space="0" w:color="000000"/>
              <w:left w:val="single" w:sz="4" w:space="0" w:color="000000"/>
              <w:bottom w:val="single" w:sz="4" w:space="0" w:color="000000"/>
            </w:tcBorders>
            <w:vAlign w:val="center"/>
          </w:tcPr>
          <w:p>
            <w:pPr>
              <w:pStyle w:val="Normal"/>
              <w:jc w:val="center"/>
              <w:rPr/>
            </w:pPr>
            <w:r>
              <w:rPr/>
              <w:t>24</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29</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BodyText"/>
              <w:spacing w:before="0" w:after="0"/>
              <w:jc w:val="center"/>
              <w:rPr>
                <w:rStyle w:val="11"/>
              </w:rPr>
            </w:pPr>
            <w:r>
              <w:rPr/>
              <w:t>579</w:t>
            </w:r>
          </w:p>
        </w:tc>
      </w:tr>
      <w:tr>
        <w:trPr>
          <w:trHeight w:val="785" w:hRule="atLeast"/>
          <w:cantSplit w:val="true"/>
        </w:trPr>
        <w:tc>
          <w:tcPr>
            <w:tcW w:w="2673" w:type="dxa"/>
            <w:tcBorders>
              <w:top w:val="single" w:sz="4" w:space="0" w:color="000000"/>
              <w:left w:val="single" w:sz="4" w:space="0" w:color="000000"/>
              <w:bottom w:val="single" w:sz="4" w:space="0" w:color="000000"/>
            </w:tcBorders>
            <w:vAlign w:val="center"/>
          </w:tcPr>
          <w:p>
            <w:pPr>
              <w:pStyle w:val="BodyText"/>
              <w:spacing w:before="0" w:after="0"/>
              <w:jc w:val="center"/>
              <w:rPr>
                <w:rStyle w:val="11"/>
              </w:rPr>
            </w:pPr>
            <w:r>
              <w:rPr>
                <w:rStyle w:val="11"/>
              </w:rPr>
              <w:t>Количество личных подсобных хозяйств / площадь земель под ЛПХ,</w:t>
            </w:r>
          </w:p>
          <w:p>
            <w:pPr>
              <w:pStyle w:val="BodyText"/>
              <w:spacing w:before="0" w:after="0"/>
              <w:jc w:val="center"/>
              <w:rPr>
                <w:rStyle w:val="11"/>
                <w:highlight w:val="yellow"/>
              </w:rPr>
            </w:pPr>
            <w:r>
              <w:rPr>
                <w:rStyle w:val="11"/>
              </w:rPr>
              <w:t>(в т. ч. пашни) га</w:t>
            </w:r>
          </w:p>
        </w:tc>
        <w:tc>
          <w:tcPr>
            <w:tcW w:w="1144" w:type="dxa"/>
            <w:tcBorders>
              <w:top w:val="single" w:sz="4" w:space="0" w:color="000000"/>
              <w:left w:val="single" w:sz="4" w:space="0" w:color="000000"/>
              <w:bottom w:val="single" w:sz="4" w:space="0" w:color="000000"/>
            </w:tcBorders>
            <w:vAlign w:val="center"/>
          </w:tcPr>
          <w:p>
            <w:pPr>
              <w:pStyle w:val="Normal"/>
              <w:jc w:val="center"/>
              <w:rPr/>
            </w:pPr>
            <w:r>
              <w:rPr/>
              <w:t>274</w:t>
            </w:r>
          </w:p>
          <w:p>
            <w:pPr>
              <w:pStyle w:val="Normal"/>
              <w:jc w:val="center"/>
              <w:rPr/>
            </w:pPr>
            <w:r>
              <w:rPr/>
            </w:r>
          </w:p>
          <w:p>
            <w:pPr>
              <w:pStyle w:val="Normal"/>
              <w:jc w:val="center"/>
              <w:rPr/>
            </w:pPr>
            <w:r>
              <w:rPr/>
              <w:t>74,4</w:t>
            </w:r>
          </w:p>
          <w:p>
            <w:pPr>
              <w:pStyle w:val="BodyText"/>
              <w:spacing w:before="0" w:after="0"/>
              <w:jc w:val="center"/>
              <w:rPr/>
            </w:pPr>
            <w:r>
              <w:rPr/>
            </w:r>
          </w:p>
          <w:p>
            <w:pPr>
              <w:pStyle w:val="BodyText"/>
              <w:spacing w:before="0" w:after="0"/>
              <w:jc w:val="center"/>
              <w:rPr>
                <w:rStyle w:val="11"/>
                <w:highlight w:val="yellow"/>
              </w:rPr>
            </w:pPr>
            <w:r>
              <w:rPr/>
              <w:t>66,4</w:t>
            </w:r>
          </w:p>
        </w:tc>
        <w:tc>
          <w:tcPr>
            <w:tcW w:w="1145" w:type="dxa"/>
            <w:tcBorders>
              <w:top w:val="single" w:sz="4" w:space="0" w:color="000000"/>
              <w:left w:val="single" w:sz="4" w:space="0" w:color="000000"/>
              <w:bottom w:val="single" w:sz="4" w:space="0" w:color="000000"/>
              <w:right w:val="single" w:sz="4" w:space="0" w:color="000000"/>
            </w:tcBorders>
          </w:tcPr>
          <w:p>
            <w:pPr>
              <w:pStyle w:val="Normal"/>
              <w:jc w:val="center"/>
              <w:rPr/>
            </w:pPr>
            <w:r>
              <w:rPr/>
            </w:r>
          </w:p>
          <w:p>
            <w:pPr>
              <w:pStyle w:val="Normal"/>
              <w:jc w:val="center"/>
              <w:rPr/>
            </w:pPr>
            <w:r>
              <w:rPr/>
              <w:t>98</w:t>
            </w:r>
          </w:p>
          <w:p>
            <w:pPr>
              <w:pStyle w:val="Normal"/>
              <w:jc w:val="center"/>
              <w:rPr/>
            </w:pPr>
            <w:r>
              <w:rPr/>
            </w:r>
          </w:p>
          <w:p>
            <w:pPr>
              <w:pStyle w:val="BodyText"/>
              <w:spacing w:before="0" w:after="0"/>
              <w:jc w:val="center"/>
              <w:rPr/>
            </w:pPr>
            <w:r>
              <w:rPr/>
            </w:r>
          </w:p>
          <w:p>
            <w:pPr>
              <w:pStyle w:val="BodyText"/>
              <w:spacing w:before="0" w:after="0"/>
              <w:jc w:val="center"/>
              <w:rPr>
                <w:rStyle w:val="11"/>
                <w:highlight w:val="yellow"/>
              </w:rPr>
            </w:pPr>
            <w:r>
              <w:rPr/>
              <w:t>33,0</w:t>
            </w:r>
          </w:p>
        </w:tc>
        <w:tc>
          <w:tcPr>
            <w:tcW w:w="1526" w:type="dxa"/>
            <w:tcBorders>
              <w:top w:val="single" w:sz="4" w:space="0" w:color="000000"/>
              <w:left w:val="single" w:sz="4" w:space="0" w:color="000000"/>
              <w:bottom w:val="single" w:sz="4" w:space="0" w:color="000000"/>
            </w:tcBorders>
            <w:vAlign w:val="center"/>
          </w:tcPr>
          <w:p>
            <w:pPr>
              <w:pStyle w:val="Normal"/>
              <w:jc w:val="center"/>
              <w:rPr/>
            </w:pPr>
            <w:r>
              <w:rPr/>
              <w:t>154</w:t>
            </w:r>
          </w:p>
          <w:p>
            <w:pPr>
              <w:pStyle w:val="Normal"/>
              <w:jc w:val="center"/>
              <w:rPr/>
            </w:pPr>
            <w:r>
              <w:rPr/>
            </w:r>
          </w:p>
          <w:p>
            <w:pPr>
              <w:pStyle w:val="Normal"/>
              <w:jc w:val="center"/>
              <w:rPr/>
            </w:pPr>
            <w:r>
              <w:rPr/>
              <w:t>58</w:t>
            </w:r>
          </w:p>
          <w:p>
            <w:pPr>
              <w:pStyle w:val="BodyText"/>
              <w:spacing w:before="0" w:after="0"/>
              <w:jc w:val="center"/>
              <w:rPr>
                <w:rStyle w:val="11"/>
                <w:highlight w:val="yellow"/>
              </w:rPr>
            </w:pPr>
            <w:r>
              <w:rPr/>
              <w:t>50</w:t>
            </w:r>
          </w:p>
        </w:tc>
        <w:tc>
          <w:tcPr>
            <w:tcW w:w="1334" w:type="dxa"/>
            <w:tcBorders>
              <w:top w:val="single" w:sz="4" w:space="0" w:color="000000"/>
              <w:left w:val="single" w:sz="4" w:space="0" w:color="000000"/>
              <w:bottom w:val="single" w:sz="4" w:space="0" w:color="000000"/>
            </w:tcBorders>
            <w:vAlign w:val="center"/>
          </w:tcPr>
          <w:p>
            <w:pPr>
              <w:pStyle w:val="Normal"/>
              <w:jc w:val="center"/>
              <w:rPr/>
            </w:pPr>
            <w:r>
              <w:rPr/>
              <w:t>24</w:t>
            </w:r>
          </w:p>
          <w:p>
            <w:pPr>
              <w:pStyle w:val="Normal"/>
              <w:jc w:val="center"/>
              <w:rPr/>
            </w:pPr>
            <w:r>
              <w:rPr/>
            </w:r>
          </w:p>
          <w:p>
            <w:pPr>
              <w:pStyle w:val="Normal"/>
              <w:jc w:val="center"/>
              <w:rPr/>
            </w:pPr>
            <w:r>
              <w:rPr/>
              <w:t>6,0</w:t>
            </w:r>
          </w:p>
          <w:p>
            <w:pPr>
              <w:pStyle w:val="BodyText"/>
              <w:spacing w:before="0" w:after="0"/>
              <w:jc w:val="center"/>
              <w:rPr>
                <w:rStyle w:val="11"/>
                <w:highlight w:val="yellow"/>
              </w:rPr>
            </w:pPr>
            <w:r>
              <w:rPr/>
              <w:t>5,0</w:t>
            </w:r>
          </w:p>
        </w:tc>
        <w:tc>
          <w:tcPr>
            <w:tcW w:w="1336" w:type="dxa"/>
            <w:tcBorders>
              <w:top w:val="single" w:sz="4" w:space="0" w:color="000000"/>
              <w:left w:val="single" w:sz="4" w:space="0" w:color="000000"/>
              <w:bottom w:val="single" w:sz="4" w:space="0" w:color="000000"/>
              <w:right w:val="single" w:sz="4" w:space="0" w:color="000000"/>
            </w:tcBorders>
          </w:tcPr>
          <w:p>
            <w:pPr>
              <w:pStyle w:val="Normal"/>
              <w:jc w:val="center"/>
              <w:rPr/>
            </w:pPr>
            <w:r>
              <w:rPr/>
              <w:t>29</w:t>
            </w:r>
          </w:p>
          <w:p>
            <w:pPr>
              <w:pStyle w:val="Normal"/>
              <w:jc w:val="center"/>
              <w:rPr/>
            </w:pPr>
            <w:r>
              <w:rPr/>
            </w:r>
          </w:p>
          <w:p>
            <w:pPr>
              <w:pStyle w:val="Normal"/>
              <w:jc w:val="center"/>
              <w:rPr/>
            </w:pPr>
            <w:r>
              <w:rPr/>
              <w:t>8,0</w:t>
            </w:r>
          </w:p>
          <w:p>
            <w:pPr>
              <w:pStyle w:val="Normal"/>
              <w:jc w:val="center"/>
              <w:rPr/>
            </w:pPr>
            <w:r>
              <w:rPr/>
              <w:t>6,0</w:t>
            </w:r>
          </w:p>
        </w:tc>
        <w:tc>
          <w:tcPr>
            <w:tcW w:w="7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579</w:t>
            </w:r>
          </w:p>
          <w:p>
            <w:pPr>
              <w:pStyle w:val="Normal"/>
              <w:jc w:val="center"/>
              <w:rPr/>
            </w:pPr>
            <w:r>
              <w:rPr/>
            </w:r>
          </w:p>
          <w:p>
            <w:pPr>
              <w:pStyle w:val="Normal"/>
              <w:jc w:val="center"/>
              <w:rPr/>
            </w:pPr>
            <w:r>
              <w:rPr/>
              <w:t>179,4</w:t>
            </w:r>
          </w:p>
          <w:p>
            <w:pPr>
              <w:pStyle w:val="BodyText"/>
              <w:spacing w:before="0" w:after="0"/>
              <w:ind w:firstLine="709"/>
              <w:jc w:val="center"/>
              <w:rPr>
                <w:rStyle w:val="11"/>
                <w:highlight w:val="yellow"/>
              </w:rPr>
            </w:pPr>
            <w:r>
              <w:rPr/>
              <w:t>127,4</w:t>
            </w:r>
          </w:p>
          <w:p>
            <w:pPr>
              <w:pStyle w:val="BodyText"/>
              <w:spacing w:before="0" w:after="0"/>
              <w:jc w:val="center"/>
              <w:rPr>
                <w:rStyle w:val="11"/>
                <w:highlight w:val="yellow"/>
              </w:rPr>
            </w:pPr>
            <w:r>
              <w:rPr>
                <w:highlight w:val="yellow"/>
              </w:rPr>
            </w:r>
          </w:p>
        </w:tc>
      </w:tr>
      <w:tr>
        <w:trPr>
          <w:trHeight w:val="785" w:hRule="atLeast"/>
          <w:cantSplit w:val="true"/>
        </w:trPr>
        <w:tc>
          <w:tcPr>
            <w:tcW w:w="2673" w:type="dxa"/>
            <w:tcBorders>
              <w:top w:val="single" w:sz="4" w:space="0" w:color="000000"/>
              <w:left w:val="single" w:sz="4" w:space="0" w:color="000000"/>
              <w:bottom w:val="single" w:sz="4" w:space="0" w:color="000000"/>
            </w:tcBorders>
            <w:vAlign w:val="center"/>
          </w:tcPr>
          <w:p>
            <w:pPr>
              <w:pStyle w:val="BodyText"/>
              <w:spacing w:before="0" w:after="0"/>
              <w:ind w:firstLine="709"/>
              <w:jc w:val="center"/>
              <w:rPr>
                <w:rStyle w:val="11"/>
                <w:highlight w:val="yellow"/>
              </w:rPr>
            </w:pPr>
            <w:r>
              <w:rPr>
                <w:rStyle w:val="11"/>
              </w:rPr>
              <w:t>Количество крестьянско-фермерских хозяйств / площадь земель под КФХ, (в т. ч. пашни) га</w:t>
            </w:r>
          </w:p>
        </w:tc>
        <w:tc>
          <w:tcPr>
            <w:tcW w:w="1144" w:type="dxa"/>
            <w:tcBorders>
              <w:top w:val="single" w:sz="4" w:space="0" w:color="000000"/>
              <w:left w:val="single" w:sz="4" w:space="0" w:color="000000"/>
              <w:bottom w:val="single" w:sz="4" w:space="0" w:color="000000"/>
            </w:tcBorders>
            <w:vAlign w:val="center"/>
          </w:tcPr>
          <w:p>
            <w:pPr>
              <w:pStyle w:val="Normal"/>
              <w:jc w:val="center"/>
              <w:rPr/>
            </w:pPr>
            <w:r>
              <w:rPr/>
              <w:t>7</w:t>
            </w:r>
          </w:p>
          <w:p>
            <w:pPr>
              <w:pStyle w:val="Normal"/>
              <w:jc w:val="center"/>
              <w:rPr/>
            </w:pPr>
            <w:r>
              <w:rPr/>
            </w:r>
          </w:p>
          <w:p>
            <w:pPr>
              <w:pStyle w:val="Normal"/>
              <w:jc w:val="center"/>
              <w:rPr/>
            </w:pPr>
            <w:r>
              <w:rPr/>
              <w:t>187,6</w:t>
            </w:r>
          </w:p>
          <w:p>
            <w:pPr>
              <w:pStyle w:val="BodyText"/>
              <w:spacing w:before="0" w:after="0"/>
              <w:rPr>
                <w:rStyle w:val="11"/>
                <w:highlight w:val="yellow"/>
              </w:rPr>
            </w:pPr>
            <w:r>
              <w:rPr/>
              <w:t xml:space="preserve">    </w:t>
            </w:r>
            <w:r>
              <w:rPr/>
              <w:t>168,8</w:t>
            </w:r>
          </w:p>
        </w:tc>
        <w:tc>
          <w:tcPr>
            <w:tcW w:w="1145" w:type="dxa"/>
            <w:tcBorders>
              <w:top w:val="single" w:sz="4" w:space="0" w:color="000000"/>
              <w:left w:val="single" w:sz="4" w:space="0" w:color="000000"/>
              <w:bottom w:val="single" w:sz="4" w:space="0" w:color="000000"/>
              <w:right w:val="single" w:sz="4" w:space="0" w:color="000000"/>
            </w:tcBorders>
          </w:tcPr>
          <w:p>
            <w:pPr>
              <w:pStyle w:val="Normal"/>
              <w:jc w:val="center"/>
              <w:rPr/>
            </w:pPr>
            <w:r>
              <w:rPr/>
              <w:t>-</w:t>
            </w:r>
          </w:p>
          <w:p>
            <w:pPr>
              <w:pStyle w:val="Normal"/>
              <w:jc w:val="center"/>
              <w:rPr/>
            </w:pPr>
            <w:r>
              <w:rPr/>
            </w:r>
          </w:p>
          <w:p>
            <w:pPr>
              <w:pStyle w:val="Normal"/>
              <w:jc w:val="center"/>
              <w:rPr/>
            </w:pPr>
            <w:r>
              <w:rPr/>
              <w:t>-</w:t>
            </w:r>
          </w:p>
          <w:p>
            <w:pPr>
              <w:pStyle w:val="BodyText"/>
              <w:spacing w:before="0" w:after="0"/>
              <w:jc w:val="center"/>
              <w:rPr>
                <w:rStyle w:val="11"/>
                <w:highlight w:val="yellow"/>
              </w:rPr>
            </w:pPr>
            <w:r>
              <w:rPr/>
              <w:t>-</w:t>
            </w:r>
          </w:p>
        </w:tc>
        <w:tc>
          <w:tcPr>
            <w:tcW w:w="1526" w:type="dxa"/>
            <w:tcBorders>
              <w:top w:val="single" w:sz="4" w:space="0" w:color="000000"/>
              <w:left w:val="single" w:sz="4" w:space="0" w:color="000000"/>
              <w:bottom w:val="single" w:sz="4" w:space="0" w:color="000000"/>
            </w:tcBorders>
          </w:tcPr>
          <w:p>
            <w:pPr>
              <w:pStyle w:val="Normal"/>
              <w:jc w:val="center"/>
              <w:rPr/>
            </w:pPr>
            <w:r>
              <w:rPr/>
              <w:t>2</w:t>
            </w:r>
          </w:p>
          <w:p>
            <w:pPr>
              <w:pStyle w:val="Normal"/>
              <w:jc w:val="center"/>
              <w:rPr/>
            </w:pPr>
            <w:r>
              <w:rPr/>
            </w:r>
          </w:p>
          <w:p>
            <w:pPr>
              <w:pStyle w:val="Normal"/>
              <w:jc w:val="center"/>
              <w:rPr/>
            </w:pPr>
            <w:r>
              <w:rPr/>
              <w:t>82,0</w:t>
            </w:r>
          </w:p>
          <w:p>
            <w:pPr>
              <w:pStyle w:val="Normal"/>
              <w:jc w:val="center"/>
              <w:rPr/>
            </w:pPr>
            <w:r>
              <w:rPr/>
              <w:t>82,0</w:t>
            </w:r>
          </w:p>
        </w:tc>
        <w:tc>
          <w:tcPr>
            <w:tcW w:w="1334" w:type="dxa"/>
            <w:tcBorders>
              <w:top w:val="single" w:sz="4" w:space="0" w:color="000000"/>
              <w:left w:val="single" w:sz="4" w:space="0" w:color="000000"/>
              <w:bottom w:val="single" w:sz="4" w:space="0" w:color="000000"/>
            </w:tcBorders>
          </w:tcPr>
          <w:p>
            <w:pPr>
              <w:pStyle w:val="Normal"/>
              <w:jc w:val="center"/>
              <w:rPr/>
            </w:pPr>
            <w:r>
              <w:rPr/>
              <w:t>2</w:t>
            </w:r>
          </w:p>
          <w:p>
            <w:pPr>
              <w:pStyle w:val="Normal"/>
              <w:jc w:val="center"/>
              <w:rPr/>
            </w:pPr>
            <w:r>
              <w:rPr/>
            </w:r>
          </w:p>
          <w:p>
            <w:pPr>
              <w:pStyle w:val="Normal"/>
              <w:jc w:val="center"/>
              <w:rPr/>
            </w:pPr>
            <w:r>
              <w:rPr/>
              <w:t>52,5</w:t>
            </w:r>
          </w:p>
          <w:p>
            <w:pPr>
              <w:pStyle w:val="Normal"/>
              <w:jc w:val="center"/>
              <w:rPr/>
            </w:pPr>
            <w:r>
              <w:rPr/>
              <w:t>52,5</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w:t>
            </w:r>
          </w:p>
          <w:p>
            <w:pPr>
              <w:pStyle w:val="Normal"/>
              <w:jc w:val="center"/>
              <w:rPr/>
            </w:pPr>
            <w:r>
              <w:rPr/>
            </w:r>
          </w:p>
          <w:p>
            <w:pPr>
              <w:pStyle w:val="Normal"/>
              <w:jc w:val="center"/>
              <w:rPr/>
            </w:pPr>
            <w:r>
              <w:rPr/>
              <w:t>-</w:t>
            </w:r>
          </w:p>
          <w:p>
            <w:pPr>
              <w:pStyle w:val="BodyText"/>
              <w:spacing w:before="0" w:after="0"/>
              <w:ind w:firstLine="709"/>
              <w:jc w:val="center"/>
              <w:rPr>
                <w:rStyle w:val="11"/>
                <w:highlight w:val="yellow"/>
              </w:rPr>
            </w:pPr>
            <w:r>
              <w:rPr/>
              <w:t>-</w:t>
            </w:r>
          </w:p>
        </w:tc>
        <w:tc>
          <w:tcPr>
            <w:tcW w:w="762" w:type="dxa"/>
            <w:tcBorders>
              <w:top w:val="single" w:sz="4" w:space="0" w:color="000000"/>
              <w:left w:val="single" w:sz="4" w:space="0" w:color="000000"/>
              <w:bottom w:val="single" w:sz="4" w:space="0" w:color="000000"/>
              <w:right w:val="single" w:sz="4" w:space="0" w:color="000000"/>
            </w:tcBorders>
          </w:tcPr>
          <w:p>
            <w:pPr>
              <w:pStyle w:val="Normal"/>
              <w:rPr/>
            </w:pPr>
            <w:r>
              <w:rPr/>
              <w:t>11</w:t>
            </w:r>
          </w:p>
          <w:p>
            <w:pPr>
              <w:pStyle w:val="Normal"/>
              <w:rPr/>
            </w:pPr>
            <w:r>
              <w:rPr/>
            </w:r>
          </w:p>
          <w:p>
            <w:pPr>
              <w:pStyle w:val="Normal"/>
              <w:rPr/>
            </w:pPr>
            <w:r>
              <w:rPr/>
              <w:t>322</w:t>
            </w:r>
          </w:p>
          <w:p>
            <w:pPr>
              <w:pStyle w:val="Normal"/>
              <w:rPr/>
            </w:pPr>
            <w:r>
              <w:rPr/>
              <w:t>303,2</w:t>
            </w:r>
          </w:p>
        </w:tc>
      </w:tr>
    </w:tbl>
    <w:p>
      <w:pPr>
        <w:pStyle w:val="BodyText"/>
        <w:spacing w:before="0" w:after="0"/>
        <w:ind w:firstLine="709"/>
        <w:jc w:val="both"/>
        <w:rPr>
          <w:rStyle w:val="11"/>
        </w:rPr>
      </w:pPr>
      <w:r/>
      <w:r>
        <w:rPr>
          <w:rStyle w:val="11"/>
        </w:rPr>
        <w:t>Характеристики аграрной деятельности и распределение показателей по населенным пунктам согласно данных Паспорта муниципального образования «Долотинское сельское  поселение» на 01.01.2012 года приводятся ниже.</w:t>
      </w:r>
    </w:p>
    <w:p>
      <w:pPr>
        <w:pStyle w:val="BodyText"/>
        <w:spacing w:before="0" w:after="0"/>
        <w:ind w:firstLine="709"/>
        <w:jc w:val="right"/>
        <w:rPr>
          <w:rStyle w:val="11"/>
        </w:rPr>
      </w:pPr>
      <w:r>
        <w:rPr/>
      </w:r>
    </w:p>
    <w:p>
      <w:pPr>
        <w:pStyle w:val="BodyText"/>
        <w:spacing w:before="0" w:after="0"/>
        <w:ind w:firstLine="709"/>
        <w:jc w:val="right"/>
        <w:rPr>
          <w:rStyle w:val="11"/>
        </w:rPr>
      </w:pPr>
      <w:r>
        <w:rPr>
          <w:rStyle w:val="11"/>
        </w:rPr>
        <w:t>таблица 1.2.3.</w:t>
      </w:r>
    </w:p>
    <w:p>
      <w:pPr>
        <w:pStyle w:val="BodyText"/>
        <w:spacing w:before="0" w:after="0"/>
        <w:ind w:firstLine="709"/>
        <w:jc w:val="center"/>
        <w:rPr>
          <w:rStyle w:val="11"/>
          <w:b/>
        </w:rPr>
      </w:pPr>
      <w:bookmarkStart w:id="8" w:name="_Toc279135727"/>
      <w:bookmarkStart w:id="9" w:name="_Toc265157868"/>
      <w:r>
        <w:rPr>
          <w:rStyle w:val="11"/>
          <w:b/>
        </w:rPr>
        <w:t>1.3. Жилой фонд и развитие жилых зон.</w:t>
      </w:r>
      <w:bookmarkEnd w:id="8"/>
      <w:bookmarkEnd w:id="9"/>
    </w:p>
    <w:p>
      <w:pPr>
        <w:pStyle w:val="Normal"/>
        <w:shd w:val="clear" w:color="auto" w:fill="FFFFFF"/>
        <w:ind w:firstLine="542" w:right="5"/>
        <w:jc w:val="both"/>
        <w:rPr>
          <w:color w:val="000000"/>
        </w:rPr>
      </w:pPr>
      <w:r>
        <w:rPr>
          <w:color w:val="000000"/>
        </w:rPr>
        <w:t>Общее количество жилого фонда Долотинского сельского поселения составляет – 52,3 тыс. квадратных метров общей площади или 25,2 м2 на 1 жителя. Жилой фонд размещается:</w:t>
      </w:r>
    </w:p>
    <w:p>
      <w:pPr>
        <w:pStyle w:val="Normal"/>
        <w:shd w:val="clear" w:color="auto" w:fill="FFFFFF"/>
        <w:ind w:firstLine="542" w:right="5"/>
        <w:jc w:val="both"/>
        <w:rPr>
          <w:color w:val="000000"/>
        </w:rPr>
      </w:pPr>
      <w:r>
        <w:rPr>
          <w:color w:val="000000"/>
        </w:rPr>
        <w:t xml:space="preserve">- в индивидуальных жилых домах с приусадебными участками- 26,5 тыс. кв.м общей площади; </w:t>
      </w:r>
    </w:p>
    <w:p>
      <w:pPr>
        <w:pStyle w:val="Normal"/>
        <w:shd w:val="clear" w:color="auto" w:fill="FFFFFF"/>
        <w:ind w:firstLine="542" w:right="5"/>
        <w:jc w:val="both"/>
        <w:rPr>
          <w:color w:val="000000"/>
        </w:rPr>
      </w:pPr>
      <w:r>
        <w:rPr>
          <w:color w:val="000000"/>
        </w:rPr>
        <w:t>- в капитальных жилых домах -25,8 тыс. кв. м общей жилой площади.</w:t>
      </w:r>
    </w:p>
    <w:p>
      <w:pPr>
        <w:pStyle w:val="Normal"/>
        <w:shd w:val="clear" w:color="auto" w:fill="FFFFFF"/>
        <w:ind w:firstLine="542" w:right="5"/>
        <w:jc w:val="both"/>
        <w:rPr>
          <w:color w:val="000000"/>
        </w:rPr>
      </w:pPr>
      <w:r>
        <w:rPr>
          <w:color w:val="000000"/>
        </w:rPr>
        <w:t>Ветхий и аварийный жилой фонд объёмом 3,4 тыс. кв. метров находится в посёлке Первомайский.  Всего в сельском поселении 443 жилых дома  и 465 квартир. Следовательно,  средняя жилая общая площадь одного жилого помещения  55,3 квадратных метра.</w:t>
      </w:r>
    </w:p>
    <w:p>
      <w:pPr>
        <w:pStyle w:val="Normal"/>
        <w:shd w:val="clear" w:color="auto" w:fill="FFFFFF"/>
        <w:ind w:firstLine="542" w:right="5"/>
        <w:jc w:val="both"/>
        <w:rPr>
          <w:color w:val="000000"/>
        </w:rPr>
      </w:pPr>
      <w:r>
        <w:rPr>
          <w:color w:val="000000"/>
        </w:rPr>
        <w:t>Форма собственности на недвижимое имущество - частная собственность на жилье, размещенное в застройке усадебного типа.</w:t>
      </w:r>
    </w:p>
    <w:p>
      <w:pPr>
        <w:pStyle w:val="Normal"/>
        <w:shd w:val="clear" w:color="auto" w:fill="FFFFFF"/>
        <w:ind w:firstLine="542" w:right="5"/>
        <w:jc w:val="both"/>
        <w:rPr>
          <w:color w:val="000000"/>
        </w:rPr>
      </w:pPr>
      <w:r>
        <w:rPr>
          <w:color w:val="000000"/>
        </w:rPr>
        <w:t>Ниже в таблице приводится ориентировочное распределение жилищного фонда по населённым пунктам Долотинского сельского поселения на 1 января 2012 года.</w:t>
      </w:r>
    </w:p>
    <w:p>
      <w:pPr>
        <w:pStyle w:val="Normal"/>
        <w:shd w:val="clear" w:color="auto" w:fill="FFFFFF"/>
        <w:ind w:firstLine="542" w:right="5"/>
        <w:jc w:val="both"/>
        <w:rPr>
          <w:color w:val="000000"/>
        </w:rPr>
      </w:pPr>
      <w:r>
        <w:rPr>
          <w:color w:val="000000"/>
        </w:rPr>
      </w:r>
    </w:p>
    <w:p>
      <w:pPr>
        <w:pStyle w:val="Normal"/>
        <w:shd w:val="clear" w:color="auto" w:fill="FFFFFF"/>
        <w:tabs>
          <w:tab w:val="clear" w:pos="708"/>
          <w:tab w:val="left" w:pos="7938" w:leader="none"/>
        </w:tabs>
        <w:ind w:right="850"/>
        <w:jc w:val="right"/>
        <w:rPr/>
      </w:pPr>
      <w:r>
        <w:rPr/>
        <w:t>Таблица№4</w:t>
      </w:r>
    </w:p>
    <w:tbl>
      <w:tblPr>
        <w:tblW w:w="4500" w:type="pct"/>
        <w:jc w:val="left"/>
        <w:tblInd w:w="1" w:type="dxa"/>
        <w:tblLayout w:type="fixed"/>
        <w:tblCellMar>
          <w:top w:w="0" w:type="dxa"/>
          <w:left w:w="108" w:type="dxa"/>
          <w:bottom w:w="0" w:type="dxa"/>
          <w:right w:w="108" w:type="dxa"/>
        </w:tblCellMar>
        <w:tblLook w:firstRow="1" w:noVBand="0" w:lastRow="1" w:firstColumn="1" w:lastColumn="1" w:noHBand="0" w:val="01e0"/>
      </w:tblPr>
      <w:tblGrid>
        <w:gridCol w:w="3357"/>
        <w:gridCol w:w="2222"/>
        <w:gridCol w:w="1786"/>
        <w:gridCol w:w="1562"/>
      </w:tblGrid>
      <w:tr>
        <w:trPr/>
        <w:tc>
          <w:tcPr>
            <w:tcW w:w="3357" w:type="dxa"/>
            <w:tcBorders>
              <w:top w:val="single" w:sz="4" w:space="0" w:color="000000"/>
              <w:left w:val="single" w:sz="4" w:space="0" w:color="000000"/>
              <w:bottom w:val="single" w:sz="4" w:space="0" w:color="000000"/>
              <w:right w:val="single" w:sz="4" w:space="0" w:color="000000"/>
            </w:tcBorders>
          </w:tcPr>
          <w:p>
            <w:pPr>
              <w:pStyle w:val="Normal"/>
              <w:jc w:val="center"/>
              <w:rPr/>
            </w:pPr>
            <w:r>
              <w:rPr/>
              <w:t>Населённый пункт</w:t>
            </w:r>
          </w:p>
        </w:tc>
        <w:tc>
          <w:tcPr>
            <w:tcW w:w="2222" w:type="dxa"/>
            <w:tcBorders>
              <w:top w:val="single" w:sz="4" w:space="0" w:color="000000"/>
              <w:left w:val="single" w:sz="4" w:space="0" w:color="000000"/>
              <w:bottom w:val="single" w:sz="4" w:space="0" w:color="000000"/>
              <w:right w:val="single" w:sz="4" w:space="0" w:color="000000"/>
            </w:tcBorders>
          </w:tcPr>
          <w:p>
            <w:pPr>
              <w:pStyle w:val="Normal"/>
              <w:jc w:val="center"/>
              <w:rPr/>
            </w:pPr>
            <w:r>
              <w:rPr/>
              <w:t xml:space="preserve">Общая жилая площадь </w:t>
            </w:r>
          </w:p>
          <w:p>
            <w:pPr>
              <w:pStyle w:val="Normal"/>
              <w:jc w:val="center"/>
              <w:rPr/>
            </w:pPr>
            <w:r>
              <w:rPr/>
              <w:t>тыс. кв.м</w:t>
            </w:r>
          </w:p>
        </w:tc>
        <w:tc>
          <w:tcPr>
            <w:tcW w:w="1786" w:type="dxa"/>
            <w:tcBorders>
              <w:top w:val="single" w:sz="4" w:space="0" w:color="000000"/>
              <w:left w:val="single" w:sz="4" w:space="0" w:color="000000"/>
              <w:bottom w:val="single" w:sz="4" w:space="0" w:color="000000"/>
              <w:right w:val="single" w:sz="4" w:space="0" w:color="000000"/>
            </w:tcBorders>
          </w:tcPr>
          <w:p>
            <w:pPr>
              <w:pStyle w:val="Normal"/>
              <w:jc w:val="center"/>
              <w:rPr/>
            </w:pPr>
            <w:r>
              <w:rPr/>
              <w:t>Численность населения человек</w:t>
            </w:r>
          </w:p>
        </w:tc>
        <w:tc>
          <w:tcPr>
            <w:tcW w:w="1562" w:type="dxa"/>
            <w:tcBorders>
              <w:top w:val="single" w:sz="4" w:space="0" w:color="000000"/>
              <w:left w:val="single" w:sz="4" w:space="0" w:color="000000"/>
              <w:bottom w:val="single" w:sz="4" w:space="0" w:color="000000"/>
              <w:right w:val="single" w:sz="4" w:space="0" w:color="000000"/>
            </w:tcBorders>
          </w:tcPr>
          <w:p>
            <w:pPr>
              <w:pStyle w:val="Normal"/>
              <w:jc w:val="center"/>
              <w:rPr/>
            </w:pPr>
            <w:r>
              <w:rPr/>
              <w:t>Норма жилой обеспечен-</w:t>
            </w:r>
          </w:p>
          <w:p>
            <w:pPr>
              <w:pStyle w:val="Normal"/>
              <w:jc w:val="center"/>
              <w:rPr/>
            </w:pPr>
            <w:r>
              <w:rPr/>
              <w:t xml:space="preserve">ности </w:t>
            </w:r>
          </w:p>
          <w:p>
            <w:pPr>
              <w:pStyle w:val="Normal"/>
              <w:jc w:val="center"/>
              <w:rPr/>
            </w:pPr>
            <w:r>
              <w:rPr/>
              <w:t>кв.м /чел.</w:t>
            </w:r>
          </w:p>
        </w:tc>
      </w:tr>
      <w:tr>
        <w:trPr/>
        <w:tc>
          <w:tcPr>
            <w:tcW w:w="3357" w:type="dxa"/>
            <w:tcBorders>
              <w:top w:val="single" w:sz="4" w:space="0" w:color="000000"/>
              <w:left w:val="single" w:sz="4" w:space="0" w:color="000000"/>
              <w:bottom w:val="single" w:sz="4" w:space="0" w:color="000000"/>
              <w:right w:val="single" w:sz="4" w:space="0" w:color="000000"/>
            </w:tcBorders>
          </w:tcPr>
          <w:p>
            <w:pPr>
              <w:pStyle w:val="Normal"/>
              <w:jc w:val="center"/>
              <w:rPr/>
            </w:pPr>
            <w:r>
              <w:rPr/>
              <w:t>1</w:t>
            </w:r>
          </w:p>
        </w:tc>
        <w:tc>
          <w:tcPr>
            <w:tcW w:w="2222" w:type="dxa"/>
            <w:tcBorders>
              <w:top w:val="single" w:sz="4" w:space="0" w:color="000000"/>
              <w:left w:val="single" w:sz="4" w:space="0" w:color="000000"/>
              <w:bottom w:val="single" w:sz="4" w:space="0" w:color="000000"/>
              <w:right w:val="single" w:sz="4" w:space="0" w:color="000000"/>
            </w:tcBorders>
          </w:tcPr>
          <w:p>
            <w:pPr>
              <w:pStyle w:val="Normal"/>
              <w:jc w:val="center"/>
              <w:rPr/>
            </w:pPr>
            <w:r>
              <w:rPr/>
              <w:t>2</w:t>
            </w:r>
          </w:p>
        </w:tc>
        <w:tc>
          <w:tcPr>
            <w:tcW w:w="1786" w:type="dxa"/>
            <w:tcBorders>
              <w:top w:val="single" w:sz="4" w:space="0" w:color="000000"/>
              <w:left w:val="single" w:sz="4" w:space="0" w:color="000000"/>
              <w:bottom w:val="single" w:sz="4" w:space="0" w:color="000000"/>
              <w:right w:val="single" w:sz="4" w:space="0" w:color="000000"/>
            </w:tcBorders>
          </w:tcPr>
          <w:p>
            <w:pPr>
              <w:pStyle w:val="Normal"/>
              <w:jc w:val="center"/>
              <w:rPr/>
            </w:pPr>
            <w:r>
              <w:rPr/>
              <w:t>3</w:t>
            </w:r>
          </w:p>
        </w:tc>
        <w:tc>
          <w:tcPr>
            <w:tcW w:w="1562" w:type="dxa"/>
            <w:tcBorders>
              <w:top w:val="single" w:sz="4" w:space="0" w:color="000000"/>
              <w:left w:val="single" w:sz="4" w:space="0" w:color="000000"/>
              <w:bottom w:val="single" w:sz="4" w:space="0" w:color="000000"/>
              <w:right w:val="single" w:sz="4" w:space="0" w:color="000000"/>
            </w:tcBorders>
          </w:tcPr>
          <w:p>
            <w:pPr>
              <w:pStyle w:val="Normal"/>
              <w:jc w:val="center"/>
              <w:rPr/>
            </w:pPr>
            <w:r>
              <w:rPr/>
              <w:t>4</w:t>
            </w:r>
          </w:p>
        </w:tc>
      </w:tr>
      <w:tr>
        <w:trPr>
          <w:trHeight w:val="291" w:hRule="atLeast"/>
        </w:trPr>
        <w:tc>
          <w:tcPr>
            <w:tcW w:w="3357" w:type="dxa"/>
            <w:tcBorders>
              <w:top w:val="single" w:sz="4" w:space="0" w:color="000000"/>
              <w:left w:val="single" w:sz="4" w:space="0" w:color="000000"/>
              <w:bottom w:val="single" w:sz="4" w:space="0" w:color="000000"/>
              <w:right w:val="single" w:sz="4" w:space="0" w:color="000000"/>
            </w:tcBorders>
            <w:vAlign w:val="center"/>
          </w:tcPr>
          <w:p>
            <w:pPr>
              <w:pStyle w:val="Normal"/>
              <w:rPr/>
            </w:pPr>
            <w:r>
              <w:rPr/>
              <w:t>хутор Молаканский</w:t>
            </w:r>
          </w:p>
        </w:tc>
        <w:tc>
          <w:tcPr>
            <w:tcW w:w="2222" w:type="dxa"/>
            <w:tcBorders>
              <w:top w:val="single" w:sz="4" w:space="0" w:color="000000"/>
              <w:left w:val="single" w:sz="4" w:space="0" w:color="000000"/>
              <w:bottom w:val="single" w:sz="4" w:space="0" w:color="000000"/>
              <w:right w:val="single" w:sz="4" w:space="0" w:color="000000"/>
            </w:tcBorders>
          </w:tcPr>
          <w:p>
            <w:pPr>
              <w:pStyle w:val="Normal"/>
              <w:jc w:val="center"/>
              <w:rPr/>
            </w:pPr>
            <w:r>
              <w:rPr/>
              <w:t>17,1</w:t>
            </w:r>
          </w:p>
        </w:tc>
        <w:tc>
          <w:tcPr>
            <w:tcW w:w="1786" w:type="dxa"/>
            <w:tcBorders>
              <w:top w:val="single" w:sz="4" w:space="0" w:color="000000"/>
              <w:left w:val="single" w:sz="4" w:space="0" w:color="000000"/>
              <w:bottom w:val="single" w:sz="4" w:space="0" w:color="000000"/>
              <w:right w:val="single" w:sz="4" w:space="0" w:color="000000"/>
            </w:tcBorders>
          </w:tcPr>
          <w:p>
            <w:pPr>
              <w:pStyle w:val="Normal"/>
              <w:jc w:val="center"/>
              <w:rPr/>
            </w:pPr>
            <w:r>
              <w:rPr/>
              <w:t>656</w:t>
            </w:r>
          </w:p>
        </w:tc>
        <w:tc>
          <w:tcPr>
            <w:tcW w:w="1562" w:type="dxa"/>
            <w:tcBorders>
              <w:top w:val="single" w:sz="4" w:space="0" w:color="000000"/>
              <w:left w:val="single" w:sz="4" w:space="0" w:color="000000"/>
              <w:bottom w:val="single" w:sz="4" w:space="0" w:color="000000"/>
              <w:right w:val="single" w:sz="4" w:space="0" w:color="000000"/>
            </w:tcBorders>
          </w:tcPr>
          <w:p>
            <w:pPr>
              <w:pStyle w:val="Normal"/>
              <w:jc w:val="center"/>
              <w:rPr/>
            </w:pPr>
            <w:r>
              <w:rPr/>
              <w:t>25,2</w:t>
            </w:r>
          </w:p>
        </w:tc>
      </w:tr>
      <w:tr>
        <w:trPr/>
        <w:tc>
          <w:tcPr>
            <w:tcW w:w="3357" w:type="dxa"/>
            <w:tcBorders>
              <w:top w:val="single" w:sz="4" w:space="0" w:color="000000"/>
              <w:left w:val="single" w:sz="4" w:space="0" w:color="000000"/>
              <w:bottom w:val="single" w:sz="4" w:space="0" w:color="000000"/>
              <w:right w:val="single" w:sz="4" w:space="0" w:color="000000"/>
            </w:tcBorders>
            <w:vAlign w:val="center"/>
          </w:tcPr>
          <w:p>
            <w:pPr>
              <w:pStyle w:val="Normal"/>
              <w:rPr/>
            </w:pPr>
            <w:r>
              <w:rPr/>
              <w:t>хутор Долотинка</w:t>
            </w:r>
          </w:p>
        </w:tc>
        <w:tc>
          <w:tcPr>
            <w:tcW w:w="2222" w:type="dxa"/>
            <w:tcBorders>
              <w:top w:val="single" w:sz="4" w:space="0" w:color="000000"/>
              <w:left w:val="single" w:sz="4" w:space="0" w:color="000000"/>
              <w:bottom w:val="single" w:sz="4" w:space="0" w:color="000000"/>
              <w:right w:val="single" w:sz="4" w:space="0" w:color="000000"/>
            </w:tcBorders>
          </w:tcPr>
          <w:p>
            <w:pPr>
              <w:pStyle w:val="Normal"/>
              <w:jc w:val="center"/>
              <w:rPr/>
            </w:pPr>
            <w:r>
              <w:rPr/>
              <w:t>9,0</w:t>
            </w:r>
          </w:p>
        </w:tc>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333</w:t>
            </w:r>
          </w:p>
        </w:tc>
        <w:tc>
          <w:tcPr>
            <w:tcW w:w="1562" w:type="dxa"/>
            <w:tcBorders>
              <w:top w:val="single" w:sz="4" w:space="0" w:color="000000"/>
              <w:left w:val="single" w:sz="4" w:space="0" w:color="000000"/>
              <w:bottom w:val="single" w:sz="4" w:space="0" w:color="000000"/>
              <w:right w:val="single" w:sz="4" w:space="0" w:color="000000"/>
            </w:tcBorders>
          </w:tcPr>
          <w:p>
            <w:pPr>
              <w:pStyle w:val="Normal"/>
              <w:jc w:val="center"/>
              <w:rPr/>
            </w:pPr>
            <w:r>
              <w:rPr/>
              <w:t>25,2</w:t>
            </w:r>
          </w:p>
        </w:tc>
      </w:tr>
      <w:tr>
        <w:trPr/>
        <w:tc>
          <w:tcPr>
            <w:tcW w:w="3357" w:type="dxa"/>
            <w:tcBorders>
              <w:top w:val="single" w:sz="4" w:space="0" w:color="000000"/>
              <w:left w:val="single" w:sz="4" w:space="0" w:color="000000"/>
              <w:bottom w:val="single" w:sz="4" w:space="0" w:color="000000"/>
              <w:right w:val="single" w:sz="4" w:space="0" w:color="000000"/>
            </w:tcBorders>
            <w:vAlign w:val="center"/>
          </w:tcPr>
          <w:p>
            <w:pPr>
              <w:pStyle w:val="Normal"/>
              <w:rPr/>
            </w:pPr>
            <w:r>
              <w:rPr/>
              <w:t>хутор Водин</w:t>
            </w:r>
          </w:p>
        </w:tc>
        <w:tc>
          <w:tcPr>
            <w:tcW w:w="2222" w:type="dxa"/>
            <w:tcBorders>
              <w:top w:val="single" w:sz="4" w:space="0" w:color="000000"/>
              <w:left w:val="single" w:sz="4" w:space="0" w:color="000000"/>
              <w:bottom w:val="single" w:sz="4" w:space="0" w:color="000000"/>
              <w:right w:val="single" w:sz="4" w:space="0" w:color="000000"/>
            </w:tcBorders>
          </w:tcPr>
          <w:p>
            <w:pPr>
              <w:pStyle w:val="Normal"/>
              <w:jc w:val="center"/>
              <w:rPr/>
            </w:pPr>
            <w:r>
              <w:rPr/>
              <w:t>0,8</w:t>
            </w:r>
          </w:p>
        </w:tc>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22</w:t>
            </w:r>
          </w:p>
        </w:tc>
        <w:tc>
          <w:tcPr>
            <w:tcW w:w="1562" w:type="dxa"/>
            <w:tcBorders>
              <w:top w:val="single" w:sz="4" w:space="0" w:color="000000"/>
              <w:left w:val="single" w:sz="4" w:space="0" w:color="000000"/>
              <w:bottom w:val="single" w:sz="4" w:space="0" w:color="000000"/>
              <w:right w:val="single" w:sz="4" w:space="0" w:color="000000"/>
            </w:tcBorders>
          </w:tcPr>
          <w:p>
            <w:pPr>
              <w:pStyle w:val="Normal"/>
              <w:jc w:val="center"/>
              <w:rPr/>
            </w:pPr>
            <w:r>
              <w:rPr/>
              <w:t>25,2</w:t>
            </w:r>
          </w:p>
        </w:tc>
      </w:tr>
      <w:tr>
        <w:trPr/>
        <w:tc>
          <w:tcPr>
            <w:tcW w:w="3357" w:type="dxa"/>
            <w:tcBorders>
              <w:top w:val="single" w:sz="4" w:space="0" w:color="000000"/>
              <w:left w:val="single" w:sz="4" w:space="0" w:color="000000"/>
              <w:bottom w:val="single" w:sz="4" w:space="0" w:color="000000"/>
              <w:right w:val="single" w:sz="4" w:space="0" w:color="000000"/>
            </w:tcBorders>
            <w:vAlign w:val="center"/>
          </w:tcPr>
          <w:p>
            <w:pPr>
              <w:pStyle w:val="Normal"/>
              <w:rPr/>
            </w:pPr>
            <w:r>
              <w:rPr/>
              <w:t>хутор Большое Зверево</w:t>
            </w:r>
          </w:p>
        </w:tc>
        <w:tc>
          <w:tcPr>
            <w:tcW w:w="2222" w:type="dxa"/>
            <w:tcBorders>
              <w:top w:val="single" w:sz="4" w:space="0" w:color="000000"/>
              <w:left w:val="single" w:sz="4" w:space="0" w:color="000000"/>
              <w:bottom w:val="single" w:sz="4" w:space="0" w:color="000000"/>
              <w:right w:val="single" w:sz="4" w:space="0" w:color="000000"/>
            </w:tcBorders>
          </w:tcPr>
          <w:p>
            <w:pPr>
              <w:pStyle w:val="Normal"/>
              <w:jc w:val="center"/>
              <w:rPr/>
            </w:pPr>
            <w:r>
              <w:rPr/>
              <w:t>0,8</w:t>
            </w:r>
          </w:p>
        </w:tc>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24</w:t>
            </w:r>
          </w:p>
        </w:tc>
        <w:tc>
          <w:tcPr>
            <w:tcW w:w="1562" w:type="dxa"/>
            <w:tcBorders>
              <w:top w:val="single" w:sz="4" w:space="0" w:color="000000"/>
              <w:left w:val="single" w:sz="4" w:space="0" w:color="000000"/>
              <w:bottom w:val="single" w:sz="4" w:space="0" w:color="000000"/>
              <w:right w:val="single" w:sz="4" w:space="0" w:color="000000"/>
            </w:tcBorders>
          </w:tcPr>
          <w:p>
            <w:pPr>
              <w:pStyle w:val="Normal"/>
              <w:jc w:val="center"/>
              <w:rPr/>
            </w:pPr>
            <w:r>
              <w:rPr/>
              <w:t>25,2</w:t>
            </w:r>
          </w:p>
        </w:tc>
      </w:tr>
      <w:tr>
        <w:trPr/>
        <w:tc>
          <w:tcPr>
            <w:tcW w:w="3357" w:type="dxa"/>
            <w:tcBorders>
              <w:top w:val="single" w:sz="4" w:space="0" w:color="000000"/>
              <w:left w:val="single" w:sz="4" w:space="0" w:color="000000"/>
              <w:bottom w:val="single" w:sz="4" w:space="0" w:color="000000"/>
              <w:right w:val="single" w:sz="4" w:space="0" w:color="000000"/>
            </w:tcBorders>
            <w:vAlign w:val="center"/>
          </w:tcPr>
          <w:p>
            <w:pPr>
              <w:pStyle w:val="Normal"/>
              <w:rPr/>
            </w:pPr>
            <w:r>
              <w:rPr/>
              <w:t>посёлок Первомайский</w:t>
            </w:r>
          </w:p>
        </w:tc>
        <w:tc>
          <w:tcPr>
            <w:tcW w:w="2222" w:type="dxa"/>
            <w:tcBorders>
              <w:top w:val="single" w:sz="4" w:space="0" w:color="000000"/>
              <w:left w:val="single" w:sz="4" w:space="0" w:color="000000"/>
              <w:bottom w:val="single" w:sz="4" w:space="0" w:color="000000"/>
              <w:right w:val="single" w:sz="4" w:space="0" w:color="000000"/>
            </w:tcBorders>
          </w:tcPr>
          <w:p>
            <w:pPr>
              <w:pStyle w:val="Normal"/>
              <w:jc w:val="center"/>
              <w:rPr/>
            </w:pPr>
            <w:r>
              <w:rPr/>
              <w:t>24,6</w:t>
            </w:r>
          </w:p>
        </w:tc>
        <w:tc>
          <w:tcPr>
            <w:tcW w:w="178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938</w:t>
            </w:r>
          </w:p>
        </w:tc>
        <w:tc>
          <w:tcPr>
            <w:tcW w:w="1562" w:type="dxa"/>
            <w:tcBorders>
              <w:top w:val="single" w:sz="4" w:space="0" w:color="000000"/>
              <w:left w:val="single" w:sz="4" w:space="0" w:color="000000"/>
              <w:bottom w:val="single" w:sz="4" w:space="0" w:color="000000"/>
              <w:right w:val="single" w:sz="4" w:space="0" w:color="000000"/>
            </w:tcBorders>
          </w:tcPr>
          <w:p>
            <w:pPr>
              <w:pStyle w:val="Normal"/>
              <w:jc w:val="center"/>
              <w:rPr/>
            </w:pPr>
            <w:r>
              <w:rPr/>
              <w:t>25,2</w:t>
            </w:r>
          </w:p>
        </w:tc>
      </w:tr>
      <w:tr>
        <w:trPr/>
        <w:tc>
          <w:tcPr>
            <w:tcW w:w="3357" w:type="dxa"/>
            <w:tcBorders>
              <w:top w:val="single" w:sz="4" w:space="0" w:color="000000"/>
              <w:left w:val="single" w:sz="4" w:space="0" w:color="000000"/>
              <w:bottom w:val="single" w:sz="4" w:space="0" w:color="000000"/>
              <w:right w:val="single" w:sz="4" w:space="0" w:color="000000"/>
            </w:tcBorders>
          </w:tcPr>
          <w:p>
            <w:pPr>
              <w:pStyle w:val="Normal"/>
              <w:rPr/>
            </w:pPr>
            <w:r>
              <w:rPr/>
              <w:t>Итого</w:t>
            </w:r>
          </w:p>
        </w:tc>
        <w:tc>
          <w:tcPr>
            <w:tcW w:w="2222" w:type="dxa"/>
            <w:tcBorders>
              <w:top w:val="single" w:sz="4" w:space="0" w:color="000000"/>
              <w:left w:val="single" w:sz="4" w:space="0" w:color="000000"/>
              <w:bottom w:val="single" w:sz="4" w:space="0" w:color="000000"/>
              <w:right w:val="single" w:sz="4" w:space="0" w:color="000000"/>
            </w:tcBorders>
          </w:tcPr>
          <w:p>
            <w:pPr>
              <w:pStyle w:val="Normal"/>
              <w:jc w:val="center"/>
              <w:rPr/>
            </w:pPr>
            <w:r>
              <w:rPr/>
              <w:t>52,3</w:t>
            </w:r>
          </w:p>
        </w:tc>
        <w:tc>
          <w:tcPr>
            <w:tcW w:w="1786" w:type="dxa"/>
            <w:tcBorders>
              <w:top w:val="single" w:sz="4" w:space="0" w:color="000000"/>
              <w:left w:val="single" w:sz="4" w:space="0" w:color="000000"/>
              <w:bottom w:val="single" w:sz="4" w:space="0" w:color="000000"/>
              <w:right w:val="single" w:sz="4" w:space="0" w:color="000000"/>
            </w:tcBorders>
          </w:tcPr>
          <w:p>
            <w:pPr>
              <w:pStyle w:val="Normal"/>
              <w:jc w:val="center"/>
              <w:rPr/>
            </w:pPr>
            <w:r>
              <w:rPr/>
              <w:t>1973</w:t>
            </w:r>
          </w:p>
        </w:tc>
        <w:tc>
          <w:tcPr>
            <w:tcW w:w="1562" w:type="dxa"/>
            <w:tcBorders>
              <w:top w:val="single" w:sz="4" w:space="0" w:color="000000"/>
              <w:left w:val="single" w:sz="4" w:space="0" w:color="000000"/>
              <w:bottom w:val="single" w:sz="4" w:space="0" w:color="000000"/>
              <w:right w:val="single" w:sz="4" w:space="0" w:color="000000"/>
            </w:tcBorders>
          </w:tcPr>
          <w:p>
            <w:pPr>
              <w:pStyle w:val="Normal"/>
              <w:jc w:val="center"/>
              <w:rPr/>
            </w:pPr>
            <w:r>
              <w:rPr/>
              <w:t>25,2</w:t>
            </w:r>
          </w:p>
        </w:tc>
      </w:tr>
    </w:tbl>
    <w:p>
      <w:pPr>
        <w:pStyle w:val="Normal"/>
        <w:jc w:val="both"/>
        <w:rPr>
          <w:color w:val="FF0000"/>
        </w:rPr>
      </w:pPr>
      <w:r>
        <w:rPr>
          <w:color w:val="FF0000"/>
        </w:rPr>
      </w:r>
    </w:p>
    <w:p>
      <w:pPr>
        <w:pStyle w:val="BodyText"/>
        <w:spacing w:before="0" w:after="0"/>
        <w:jc w:val="both"/>
        <w:rPr>
          <w:rStyle w:val="11"/>
        </w:rPr>
      </w:pPr>
      <w:r>
        <w:rPr>
          <w:rStyle w:val="11"/>
        </w:rPr>
        <w:t>Основные цели жилищной политики – улучшение качества жизни, включая качество жилой среды и повышение в связи с этим инвестиционной привлекательности самого города.</w:t>
      </w:r>
    </w:p>
    <w:p>
      <w:pPr>
        <w:pStyle w:val="BodyText"/>
        <w:spacing w:before="0" w:after="0"/>
        <w:jc w:val="both"/>
        <w:rPr>
          <w:rStyle w:val="11"/>
        </w:rPr>
      </w:pPr>
      <w:r>
        <w:rPr>
          <w:rStyle w:val="11"/>
        </w:rPr>
        <w:t>Основные проектные предложения в решении жилищной проблемы и новая жилищная политика:</w:t>
      </w:r>
    </w:p>
    <w:p>
      <w:pPr>
        <w:pStyle w:val="BodyText"/>
        <w:spacing w:before="0" w:after="0"/>
        <w:ind w:firstLine="709"/>
        <w:jc w:val="both"/>
        <w:rPr>
          <w:rStyle w:val="11"/>
        </w:rPr>
      </w:pPr>
      <w:r>
        <w:rPr>
          <w:rStyle w:val="11"/>
        </w:rPr>
        <w:t>- ликвидация ветхого, аварийного фонда;</w:t>
      </w:r>
    </w:p>
    <w:p>
      <w:pPr>
        <w:pStyle w:val="BodyText"/>
        <w:spacing w:before="0" w:after="0"/>
        <w:ind w:firstLine="709"/>
        <w:jc w:val="both"/>
        <w:rPr>
          <w:rStyle w:val="11"/>
        </w:rPr>
      </w:pPr>
      <w:r>
        <w:rPr>
          <w:rStyle w:val="11"/>
        </w:rPr>
        <w:t xml:space="preserve">- наращивание темпов строительства жилья за счет всех источников финансирования, включая индивидуальное строительство; </w:t>
      </w:r>
    </w:p>
    <w:p>
      <w:pPr>
        <w:pStyle w:val="BodyText"/>
        <w:spacing w:before="0" w:after="0"/>
        <w:ind w:firstLine="709"/>
        <w:jc w:val="both"/>
        <w:rPr>
          <w:rStyle w:val="11"/>
        </w:rPr>
      </w:pPr>
      <w:r>
        <w:rPr>
          <w:rStyle w:val="11"/>
        </w:rPr>
        <w:t>- активное вовлечение в жилищное строительство дольщиков, развитие и пропаганда ипотечного кредитования;</w:t>
      </w:r>
    </w:p>
    <w:p>
      <w:pPr>
        <w:pStyle w:val="Normal"/>
        <w:ind w:firstLine="540"/>
        <w:jc w:val="both"/>
        <w:rPr/>
      </w:pPr>
      <w:r>
        <w:rPr>
          <w:rStyle w:val="11"/>
        </w:rPr>
        <w:t>Генеральным планом Долотинского сельского поселения предусмотрена малоэтажное строительство п. Первомайский для переселения граждан из ветхого и аварийного жилья</w:t>
      </w:r>
      <w:r>
        <w:rPr/>
        <w:t xml:space="preserve"> </w:t>
      </w:r>
    </w:p>
    <w:p>
      <w:pPr>
        <w:pStyle w:val="Normal"/>
        <w:ind w:firstLine="540"/>
        <w:jc w:val="both"/>
        <w:rPr/>
      </w:pPr>
      <w:r>
        <w:rPr/>
        <w:t xml:space="preserve">в </w:t>
      </w:r>
      <w:r>
        <w:rPr>
          <w:b/>
        </w:rPr>
        <w:t>х. Молаканский</w:t>
      </w:r>
      <w:r>
        <w:rPr/>
        <w:t xml:space="preserve">  предусматривается реконструкция  малоэтажной застройки в центре населенного пункта. </w:t>
      </w:r>
    </w:p>
    <w:p>
      <w:pPr>
        <w:pStyle w:val="Normal"/>
        <w:ind w:firstLine="540"/>
        <w:jc w:val="both"/>
        <w:rPr/>
      </w:pPr>
      <w:r>
        <w:rPr/>
      </w:r>
    </w:p>
    <w:p>
      <w:pPr>
        <w:pStyle w:val="Normal"/>
        <w:rPr>
          <w:b/>
        </w:rPr>
      </w:pPr>
      <w:r>
        <w:rPr>
          <w:b/>
        </w:rPr>
      </w:r>
    </w:p>
    <w:p>
      <w:pPr>
        <w:pStyle w:val="Normal"/>
        <w:rPr>
          <w:b/>
        </w:rPr>
      </w:pPr>
      <w:r>
        <w:rPr>
          <w:b/>
        </w:rPr>
        <w:t xml:space="preserve">Структура жилищного строительства по видам </w:t>
      </w:r>
    </w:p>
    <w:p>
      <w:pPr>
        <w:pStyle w:val="Normal"/>
        <w:jc w:val="right"/>
        <w:rPr/>
      </w:pPr>
      <w:r>
        <w:rPr/>
        <w:t>Таблица 1.3.4.</w:t>
      </w:r>
    </w:p>
    <w:tbl>
      <w:tblPr>
        <w:tblW w:w="10556" w:type="dxa"/>
        <w:jc w:val="left"/>
        <w:tblInd w:w="5" w:type="dxa"/>
        <w:tblLayout w:type="fixed"/>
        <w:tblCellMar>
          <w:top w:w="0" w:type="dxa"/>
          <w:left w:w="5" w:type="dxa"/>
          <w:bottom w:w="0" w:type="dxa"/>
          <w:right w:w="0" w:type="dxa"/>
        </w:tblCellMar>
        <w:tblLook w:firstRow="0" w:noVBand="0" w:lastRow="0" w:firstColumn="0" w:lastColumn="0" w:noHBand="0" w:val="0000"/>
      </w:tblPr>
      <w:tblGrid>
        <w:gridCol w:w="3612"/>
        <w:gridCol w:w="992"/>
        <w:gridCol w:w="1269"/>
        <w:gridCol w:w="2317"/>
        <w:gridCol w:w="2366"/>
      </w:tblGrid>
      <w:tr>
        <w:trPr>
          <w:tblHeader w:val="true"/>
          <w:trHeight w:val="20" w:hRule="atLeast"/>
        </w:trPr>
        <w:tc>
          <w:tcPr>
            <w:tcW w:w="3612" w:type="dxa"/>
            <w:vMerge w:val="restart"/>
            <w:tcBorders>
              <w:top w:val="single" w:sz="4" w:space="0" w:color="000000"/>
              <w:left w:val="single" w:sz="4" w:space="0" w:color="000000"/>
              <w:bottom w:val="single" w:sz="4" w:space="0" w:color="000000"/>
            </w:tcBorders>
            <w:vAlign w:val="center"/>
          </w:tcPr>
          <w:p>
            <w:pPr>
              <w:pStyle w:val="Normal"/>
              <w:snapToGrid w:val="false"/>
              <w:jc w:val="center"/>
              <w:rPr/>
            </w:pPr>
            <w:r>
              <w:rPr/>
              <w:t>Виды застройки</w:t>
            </w:r>
          </w:p>
        </w:tc>
        <w:tc>
          <w:tcPr>
            <w:tcW w:w="992" w:type="dxa"/>
            <w:vMerge w:val="restart"/>
            <w:tcBorders>
              <w:top w:val="single" w:sz="4" w:space="0" w:color="000000"/>
              <w:left w:val="single" w:sz="4" w:space="0" w:color="000000"/>
              <w:bottom w:val="single" w:sz="4" w:space="0" w:color="000000"/>
            </w:tcBorders>
            <w:vAlign w:val="center"/>
          </w:tcPr>
          <w:p>
            <w:pPr>
              <w:pStyle w:val="Normal"/>
              <w:snapToGrid w:val="false"/>
              <w:jc w:val="center"/>
              <w:rPr/>
            </w:pPr>
            <w:r>
              <w:rPr/>
              <w:t>%</w:t>
            </w:r>
          </w:p>
        </w:tc>
        <w:tc>
          <w:tcPr>
            <w:tcW w:w="1269" w:type="dxa"/>
            <w:vMerge w:val="restart"/>
            <w:tcBorders>
              <w:top w:val="single" w:sz="4" w:space="0" w:color="000000"/>
              <w:left w:val="single" w:sz="4" w:space="0" w:color="000000"/>
              <w:bottom w:val="single" w:sz="4" w:space="0" w:color="000000"/>
            </w:tcBorders>
            <w:vAlign w:val="center"/>
          </w:tcPr>
          <w:p>
            <w:pPr>
              <w:pStyle w:val="Normal"/>
              <w:snapToGrid w:val="false"/>
              <w:jc w:val="center"/>
              <w:rPr/>
            </w:pPr>
            <w:r>
              <w:rPr/>
              <w:t>тыс.м</w:t>
            </w:r>
            <w:r>
              <w:rPr>
                <w:vertAlign w:val="superscript"/>
              </w:rPr>
              <w:t>2</w:t>
            </w:r>
          </w:p>
        </w:tc>
        <w:tc>
          <w:tcPr>
            <w:tcW w:w="4683" w:type="dxa"/>
            <w:gridSpan w:val="2"/>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в том числе</w:t>
            </w:r>
          </w:p>
        </w:tc>
      </w:tr>
      <w:tr>
        <w:trPr>
          <w:trHeight w:val="20" w:hRule="atLeast"/>
        </w:trPr>
        <w:tc>
          <w:tcPr>
            <w:tcW w:w="3612" w:type="dxa"/>
            <w:vMerge w:val="continue"/>
            <w:tcBorders>
              <w:left w:val="single" w:sz="4" w:space="0" w:color="000000"/>
              <w:bottom w:val="single" w:sz="4" w:space="0" w:color="000000"/>
            </w:tcBorders>
          </w:tcPr>
          <w:p>
            <w:pPr>
              <w:pStyle w:val="Normal"/>
              <w:snapToGrid w:val="false"/>
              <w:jc w:val="center"/>
              <w:rPr/>
            </w:pPr>
            <w:r>
              <w:rPr/>
            </w:r>
          </w:p>
        </w:tc>
        <w:tc>
          <w:tcPr>
            <w:tcW w:w="992" w:type="dxa"/>
            <w:vMerge w:val="continue"/>
            <w:tcBorders>
              <w:left w:val="single" w:sz="4" w:space="0" w:color="000000"/>
              <w:bottom w:val="single" w:sz="4" w:space="0" w:color="000000"/>
            </w:tcBorders>
          </w:tcPr>
          <w:p>
            <w:pPr>
              <w:pStyle w:val="Normal"/>
              <w:jc w:val="center"/>
              <w:rPr/>
            </w:pPr>
            <w:r>
              <w:rPr/>
            </w:r>
          </w:p>
        </w:tc>
        <w:tc>
          <w:tcPr>
            <w:tcW w:w="1269" w:type="dxa"/>
            <w:vMerge w:val="continue"/>
            <w:tcBorders>
              <w:left w:val="single" w:sz="4" w:space="0" w:color="000000"/>
              <w:bottom w:val="single" w:sz="4" w:space="0" w:color="000000"/>
            </w:tcBorders>
          </w:tcPr>
          <w:p>
            <w:pPr>
              <w:pStyle w:val="Normal"/>
              <w:snapToGrid w:val="false"/>
              <w:jc w:val="center"/>
              <w:rPr>
                <w:vertAlign w:val="superscript"/>
              </w:rPr>
            </w:pPr>
            <w:r>
              <w:rPr>
                <w:vertAlign w:val="superscript"/>
              </w:rPr>
            </w:r>
          </w:p>
        </w:tc>
        <w:tc>
          <w:tcPr>
            <w:tcW w:w="2317" w:type="dxa"/>
            <w:tcBorders>
              <w:top w:val="single" w:sz="4" w:space="0" w:color="000000"/>
              <w:left w:val="single" w:sz="4" w:space="0" w:color="000000"/>
              <w:bottom w:val="single" w:sz="4" w:space="0" w:color="000000"/>
            </w:tcBorders>
          </w:tcPr>
          <w:p>
            <w:pPr>
              <w:pStyle w:val="Normal"/>
              <w:snapToGrid w:val="false"/>
              <w:jc w:val="center"/>
              <w:rPr/>
            </w:pPr>
            <w:r>
              <w:rPr/>
              <w:t>На реконструируемых</w:t>
            </w:r>
          </w:p>
          <w:p>
            <w:pPr>
              <w:pStyle w:val="Normal"/>
              <w:jc w:val="center"/>
              <w:rPr/>
            </w:pPr>
            <w:r>
              <w:rPr/>
              <w:t>территориях</w:t>
            </w:r>
          </w:p>
        </w:tc>
        <w:tc>
          <w:tcPr>
            <w:tcW w:w="2366"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pPr>
            <w:r>
              <w:rPr/>
              <w:t>На свободных</w:t>
            </w:r>
          </w:p>
          <w:p>
            <w:pPr>
              <w:pStyle w:val="Normal"/>
              <w:jc w:val="center"/>
              <w:rPr/>
            </w:pPr>
            <w:r>
              <w:rPr/>
              <w:t>территориях</w:t>
            </w:r>
          </w:p>
        </w:tc>
      </w:tr>
      <w:tr>
        <w:trPr>
          <w:trHeight w:val="20" w:hRule="atLeast"/>
        </w:trPr>
        <w:tc>
          <w:tcPr>
            <w:tcW w:w="3612" w:type="dxa"/>
            <w:tcBorders>
              <w:left w:val="single" w:sz="4" w:space="0" w:color="000000"/>
              <w:bottom w:val="single" w:sz="4" w:space="0" w:color="000000"/>
            </w:tcBorders>
          </w:tcPr>
          <w:p>
            <w:pPr>
              <w:pStyle w:val="Normal"/>
              <w:snapToGrid w:val="false"/>
              <w:rPr/>
            </w:pPr>
            <w:r>
              <w:rPr/>
              <w:t xml:space="preserve">- индивидуальная застройка домами с земельным участком </w:t>
            </w:r>
          </w:p>
        </w:tc>
        <w:tc>
          <w:tcPr>
            <w:tcW w:w="992" w:type="dxa"/>
            <w:tcBorders>
              <w:left w:val="single" w:sz="4" w:space="0" w:color="000000"/>
              <w:bottom w:val="single" w:sz="4" w:space="0" w:color="000000"/>
            </w:tcBorders>
            <w:vAlign w:val="center"/>
          </w:tcPr>
          <w:p>
            <w:pPr>
              <w:pStyle w:val="-"/>
              <w:rPr>
                <w:sz w:val="24"/>
              </w:rPr>
            </w:pPr>
            <w:r>
              <w:rPr>
                <w:sz w:val="24"/>
              </w:rPr>
              <w:t>8</w:t>
            </w:r>
          </w:p>
        </w:tc>
        <w:tc>
          <w:tcPr>
            <w:tcW w:w="1269" w:type="dxa"/>
            <w:tcBorders>
              <w:left w:val="single" w:sz="4" w:space="0" w:color="000000"/>
              <w:bottom w:val="single" w:sz="4" w:space="0" w:color="000000"/>
            </w:tcBorders>
            <w:vAlign w:val="center"/>
          </w:tcPr>
          <w:p>
            <w:pPr>
              <w:pStyle w:val="Normal"/>
              <w:snapToGrid w:val="false"/>
              <w:jc w:val="center"/>
              <w:rPr/>
            </w:pPr>
            <w:r>
              <w:rPr/>
              <w:t>1,0</w:t>
            </w:r>
          </w:p>
        </w:tc>
        <w:tc>
          <w:tcPr>
            <w:tcW w:w="2317" w:type="dxa"/>
            <w:tcBorders>
              <w:top w:val="single" w:sz="4" w:space="0" w:color="000000"/>
              <w:left w:val="single" w:sz="4" w:space="0" w:color="000000"/>
              <w:bottom w:val="single" w:sz="4" w:space="0" w:color="000000"/>
            </w:tcBorders>
            <w:vAlign w:val="center"/>
          </w:tcPr>
          <w:p>
            <w:pPr>
              <w:pStyle w:val="Normal"/>
              <w:snapToGrid w:val="false"/>
              <w:jc w:val="center"/>
              <w:rPr/>
            </w:pPr>
            <w:r>
              <w:rPr/>
              <w:t>-</w:t>
            </w:r>
          </w:p>
        </w:tc>
        <w:tc>
          <w:tcPr>
            <w:tcW w:w="236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t>1,0</w:t>
            </w:r>
          </w:p>
        </w:tc>
      </w:tr>
      <w:tr>
        <w:trPr>
          <w:trHeight w:val="20" w:hRule="atLeast"/>
        </w:trPr>
        <w:tc>
          <w:tcPr>
            <w:tcW w:w="3612" w:type="dxa"/>
            <w:tcBorders>
              <w:top w:val="single" w:sz="4" w:space="0" w:color="000000"/>
              <w:left w:val="single" w:sz="4" w:space="0" w:color="000000"/>
              <w:bottom w:val="single" w:sz="4" w:space="0" w:color="000000"/>
            </w:tcBorders>
          </w:tcPr>
          <w:p>
            <w:pPr>
              <w:pStyle w:val="Normal"/>
              <w:snapToGrid w:val="false"/>
              <w:rPr/>
            </w:pPr>
            <w:r>
              <w:rPr/>
              <w:t>- малоэтажная застройка</w:t>
            </w:r>
          </w:p>
        </w:tc>
        <w:tc>
          <w:tcPr>
            <w:tcW w:w="992" w:type="dxa"/>
            <w:tcBorders>
              <w:top w:val="single" w:sz="4" w:space="0" w:color="000000"/>
              <w:left w:val="single" w:sz="4" w:space="0" w:color="000000"/>
              <w:bottom w:val="single" w:sz="4" w:space="0" w:color="000000"/>
            </w:tcBorders>
            <w:vAlign w:val="center"/>
          </w:tcPr>
          <w:p>
            <w:pPr>
              <w:pStyle w:val="-"/>
              <w:rPr>
                <w:sz w:val="24"/>
              </w:rPr>
            </w:pPr>
            <w:r>
              <w:rPr>
                <w:sz w:val="24"/>
              </w:rPr>
              <w:t>92</w:t>
            </w:r>
          </w:p>
        </w:tc>
        <w:tc>
          <w:tcPr>
            <w:tcW w:w="1269" w:type="dxa"/>
            <w:tcBorders>
              <w:top w:val="single" w:sz="4" w:space="0" w:color="000000"/>
              <w:left w:val="single" w:sz="4" w:space="0" w:color="000000"/>
              <w:bottom w:val="single" w:sz="4" w:space="0" w:color="000000"/>
            </w:tcBorders>
            <w:vAlign w:val="center"/>
          </w:tcPr>
          <w:p>
            <w:pPr>
              <w:pStyle w:val="Normal"/>
              <w:snapToGrid w:val="false"/>
              <w:jc w:val="center"/>
              <w:rPr/>
            </w:pPr>
            <w:r>
              <w:rPr/>
              <w:t>11,8</w:t>
            </w:r>
          </w:p>
        </w:tc>
        <w:tc>
          <w:tcPr>
            <w:tcW w:w="2317" w:type="dxa"/>
            <w:tcBorders>
              <w:top w:val="single" w:sz="4" w:space="0" w:color="000000"/>
              <w:left w:val="single" w:sz="4" w:space="0" w:color="000000"/>
              <w:bottom w:val="single" w:sz="4" w:space="0" w:color="000000"/>
            </w:tcBorders>
            <w:vAlign w:val="center"/>
          </w:tcPr>
          <w:p>
            <w:pPr>
              <w:pStyle w:val="Normal"/>
              <w:snapToGrid w:val="false"/>
              <w:jc w:val="center"/>
              <w:rPr/>
            </w:pPr>
            <w:r>
              <w:rPr/>
              <w:t>-</w:t>
            </w:r>
          </w:p>
        </w:tc>
        <w:tc>
          <w:tcPr>
            <w:tcW w:w="236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t>11,8</w:t>
            </w:r>
          </w:p>
        </w:tc>
      </w:tr>
      <w:tr>
        <w:trPr>
          <w:trHeight w:val="20" w:hRule="atLeast"/>
        </w:trPr>
        <w:tc>
          <w:tcPr>
            <w:tcW w:w="3612" w:type="dxa"/>
            <w:tcBorders>
              <w:top w:val="single" w:sz="4" w:space="0" w:color="000000"/>
              <w:left w:val="single" w:sz="4" w:space="0" w:color="000000"/>
              <w:bottom w:val="single" w:sz="4" w:space="0" w:color="000000"/>
            </w:tcBorders>
          </w:tcPr>
          <w:p>
            <w:pPr>
              <w:pStyle w:val="Normal"/>
              <w:snapToGrid w:val="false"/>
              <w:jc w:val="center"/>
              <w:rPr/>
            </w:pPr>
            <w:r>
              <w:rPr/>
              <w:t>ИТОГО</w:t>
            </w:r>
          </w:p>
        </w:tc>
        <w:tc>
          <w:tcPr>
            <w:tcW w:w="992" w:type="dxa"/>
            <w:tcBorders>
              <w:top w:val="single" w:sz="4" w:space="0" w:color="000000"/>
              <w:left w:val="single" w:sz="4" w:space="0" w:color="000000"/>
              <w:bottom w:val="single" w:sz="4" w:space="0" w:color="000000"/>
            </w:tcBorders>
            <w:vAlign w:val="center"/>
          </w:tcPr>
          <w:p>
            <w:pPr>
              <w:pStyle w:val="-"/>
              <w:rPr>
                <w:sz w:val="24"/>
              </w:rPr>
            </w:pPr>
            <w:r>
              <w:rPr>
                <w:sz w:val="24"/>
              </w:rPr>
              <w:t>100</w:t>
            </w:r>
          </w:p>
        </w:tc>
        <w:tc>
          <w:tcPr>
            <w:tcW w:w="1269" w:type="dxa"/>
            <w:tcBorders>
              <w:top w:val="single" w:sz="4" w:space="0" w:color="000000"/>
              <w:left w:val="single" w:sz="4" w:space="0" w:color="000000"/>
              <w:bottom w:val="single" w:sz="4" w:space="0" w:color="000000"/>
            </w:tcBorders>
            <w:vAlign w:val="center"/>
          </w:tcPr>
          <w:p>
            <w:pPr>
              <w:pStyle w:val="Normal"/>
              <w:snapToGrid w:val="false"/>
              <w:jc w:val="center"/>
              <w:rPr/>
            </w:pPr>
            <w:r>
              <w:rPr/>
              <w:t>12,8</w:t>
            </w:r>
          </w:p>
        </w:tc>
        <w:tc>
          <w:tcPr>
            <w:tcW w:w="2317" w:type="dxa"/>
            <w:tcBorders>
              <w:top w:val="single" w:sz="4" w:space="0" w:color="000000"/>
              <w:left w:val="single" w:sz="4" w:space="0" w:color="000000"/>
              <w:bottom w:val="single" w:sz="4" w:space="0" w:color="000000"/>
            </w:tcBorders>
            <w:vAlign w:val="center"/>
          </w:tcPr>
          <w:p>
            <w:pPr>
              <w:pStyle w:val="Normal"/>
              <w:snapToGrid w:val="false"/>
              <w:jc w:val="center"/>
              <w:rPr/>
            </w:pPr>
            <w:r>
              <w:rPr/>
            </w:r>
          </w:p>
        </w:tc>
        <w:tc>
          <w:tcPr>
            <w:tcW w:w="2366"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jc w:val="center"/>
              <w:rPr/>
            </w:pPr>
            <w:r>
              <w:rPr/>
            </w:r>
          </w:p>
        </w:tc>
      </w:tr>
    </w:tbl>
    <w:p>
      <w:pPr>
        <w:pStyle w:val="Normal"/>
        <w:rPr>
          <w:b/>
        </w:rPr>
      </w:pPr>
      <w:r>
        <w:rPr>
          <w:b/>
        </w:rPr>
      </w:r>
    </w:p>
    <w:p>
      <w:pPr>
        <w:pStyle w:val="Normal"/>
        <w:jc w:val="center"/>
        <w:rPr>
          <w:b/>
        </w:rPr>
      </w:pPr>
      <w:r>
        <w:rPr>
          <w:b/>
        </w:rPr>
        <w:t xml:space="preserve">Сводные данные по размещению и объемам нового жилищного строительства </w:t>
      </w:r>
    </w:p>
    <w:p>
      <w:pPr>
        <w:pStyle w:val="Normal"/>
        <w:jc w:val="center"/>
        <w:rPr>
          <w:b/>
        </w:rPr>
      </w:pPr>
      <w:r>
        <w:rPr>
          <w:b/>
        </w:rPr>
        <w:t>п. Первомайский на расчетный срок.</w:t>
      </w:r>
    </w:p>
    <w:p>
      <w:pPr>
        <w:pStyle w:val="Normal"/>
        <w:jc w:val="right"/>
        <w:rPr/>
      </w:pPr>
      <w:r>
        <w:rPr/>
        <w:t>Таблица 1.3.6.</w:t>
      </w:r>
    </w:p>
    <w:tbl>
      <w:tblPr>
        <w:tblW w:w="5000" w:type="pct"/>
        <w:jc w:val="left"/>
        <w:tblInd w:w="0" w:type="dxa"/>
        <w:tblLayout w:type="fixed"/>
        <w:tblCellMar>
          <w:top w:w="0" w:type="dxa"/>
          <w:left w:w="0" w:type="dxa"/>
          <w:bottom w:w="0" w:type="dxa"/>
          <w:right w:w="0" w:type="dxa"/>
        </w:tblCellMar>
        <w:tblLook w:firstRow="0" w:noVBand="0" w:lastRow="0" w:firstColumn="0" w:lastColumn="0" w:noHBand="0" w:val="0000"/>
      </w:tblPr>
      <w:tblGrid>
        <w:gridCol w:w="2614"/>
        <w:gridCol w:w="1340"/>
        <w:gridCol w:w="34"/>
        <w:gridCol w:w="1376"/>
        <w:gridCol w:w="1513"/>
        <w:gridCol w:w="1375"/>
        <w:gridCol w:w="21"/>
        <w:gridCol w:w="1647"/>
      </w:tblGrid>
      <w:tr>
        <w:trPr>
          <w:tblHeader w:val="true"/>
          <w:trHeight w:val="20" w:hRule="atLeast"/>
        </w:trPr>
        <w:tc>
          <w:tcPr>
            <w:tcW w:w="2614" w:type="dxa"/>
            <w:vMerge w:val="restart"/>
            <w:tcBorders>
              <w:top w:val="single" w:sz="4" w:space="0" w:color="000000"/>
              <w:left w:val="single" w:sz="4" w:space="0" w:color="000000"/>
              <w:bottom w:val="single" w:sz="4" w:space="0" w:color="000000"/>
            </w:tcBorders>
            <w:vAlign w:val="center"/>
          </w:tcPr>
          <w:p>
            <w:pPr>
              <w:pStyle w:val="-"/>
              <w:rPr>
                <w:sz w:val="24"/>
                <w:highlight w:val="yellow"/>
              </w:rPr>
            </w:pPr>
            <w:r>
              <w:rPr>
                <w:sz w:val="24"/>
              </w:rPr>
              <w:t>Кварталы</w:t>
            </w:r>
          </w:p>
        </w:tc>
        <w:tc>
          <w:tcPr>
            <w:tcW w:w="1340" w:type="dxa"/>
            <w:vMerge w:val="restart"/>
            <w:tcBorders>
              <w:top w:val="single" w:sz="4" w:space="0" w:color="000000"/>
              <w:left w:val="single" w:sz="4" w:space="0" w:color="000000"/>
              <w:bottom w:val="single" w:sz="4" w:space="0" w:color="000000"/>
            </w:tcBorders>
            <w:vAlign w:val="center"/>
          </w:tcPr>
          <w:p>
            <w:pPr>
              <w:pStyle w:val="-"/>
              <w:rPr>
                <w:sz w:val="24"/>
              </w:rPr>
            </w:pPr>
            <w:r>
              <w:rPr>
                <w:sz w:val="24"/>
              </w:rPr>
              <w:t>Территория</w:t>
            </w:r>
          </w:p>
          <w:p>
            <w:pPr>
              <w:pStyle w:val="-"/>
              <w:rPr>
                <w:sz w:val="24"/>
              </w:rPr>
            </w:pPr>
            <w:r>
              <w:rPr>
                <w:sz w:val="24"/>
              </w:rPr>
              <w:t>квартала</w:t>
            </w:r>
          </w:p>
          <w:p>
            <w:pPr>
              <w:pStyle w:val="-"/>
              <w:rPr>
                <w:sz w:val="24"/>
                <w:highlight w:val="yellow"/>
              </w:rPr>
            </w:pPr>
            <w:r>
              <w:rPr>
                <w:sz w:val="24"/>
              </w:rPr>
              <w:t>га</w:t>
            </w:r>
          </w:p>
        </w:tc>
        <w:tc>
          <w:tcPr>
            <w:tcW w:w="1410" w:type="dxa"/>
            <w:gridSpan w:val="2"/>
            <w:vMerge w:val="restart"/>
            <w:tcBorders>
              <w:top w:val="single" w:sz="4" w:space="0" w:color="000000"/>
              <w:left w:val="single" w:sz="4" w:space="0" w:color="000000"/>
              <w:bottom w:val="single" w:sz="4" w:space="0" w:color="000000"/>
            </w:tcBorders>
            <w:vAlign w:val="center"/>
          </w:tcPr>
          <w:p>
            <w:pPr>
              <w:pStyle w:val="-"/>
              <w:rPr>
                <w:sz w:val="24"/>
              </w:rPr>
            </w:pPr>
            <w:r>
              <w:rPr>
                <w:sz w:val="24"/>
              </w:rPr>
              <w:t>Население</w:t>
            </w:r>
          </w:p>
          <w:p>
            <w:pPr>
              <w:pStyle w:val="-"/>
              <w:rPr>
                <w:sz w:val="24"/>
                <w:highlight w:val="yellow"/>
              </w:rPr>
            </w:pPr>
            <w:r>
              <w:rPr>
                <w:sz w:val="24"/>
              </w:rPr>
              <w:t>тыс.чел.</w:t>
            </w:r>
          </w:p>
        </w:tc>
        <w:tc>
          <w:tcPr>
            <w:tcW w:w="1513" w:type="dxa"/>
            <w:vMerge w:val="restart"/>
            <w:tcBorders>
              <w:top w:val="single" w:sz="4" w:space="0" w:color="000000"/>
              <w:left w:val="single" w:sz="4" w:space="0" w:color="000000"/>
              <w:bottom w:val="single" w:sz="4" w:space="0" w:color="000000"/>
            </w:tcBorders>
            <w:vAlign w:val="center"/>
          </w:tcPr>
          <w:p>
            <w:pPr>
              <w:pStyle w:val="-"/>
              <w:rPr>
                <w:sz w:val="24"/>
                <w:highlight w:val="yellow"/>
              </w:rPr>
            </w:pPr>
            <w:r>
              <w:rPr>
                <w:sz w:val="24"/>
              </w:rPr>
              <w:t>Всего (тыс. м</w:t>
            </w:r>
            <w:r>
              <w:rPr>
                <w:sz w:val="24"/>
                <w:vertAlign w:val="superscript"/>
              </w:rPr>
              <w:t>2</w:t>
            </w:r>
            <w:r>
              <w:rPr>
                <w:sz w:val="24"/>
              </w:rPr>
              <w:t xml:space="preserve"> общей площади)</w:t>
            </w:r>
          </w:p>
        </w:tc>
        <w:tc>
          <w:tcPr>
            <w:tcW w:w="3043" w:type="dxa"/>
            <w:gridSpan w:val="3"/>
            <w:tcBorders>
              <w:top w:val="single" w:sz="4" w:space="0" w:color="000000"/>
              <w:left w:val="single" w:sz="4" w:space="0" w:color="000000"/>
              <w:bottom w:val="single" w:sz="4" w:space="0" w:color="000000"/>
              <w:right w:val="single" w:sz="4" w:space="0" w:color="000000"/>
            </w:tcBorders>
            <w:vAlign w:val="center"/>
          </w:tcPr>
          <w:p>
            <w:pPr>
              <w:pStyle w:val="-"/>
              <w:rPr>
                <w:sz w:val="24"/>
                <w:highlight w:val="yellow"/>
              </w:rPr>
            </w:pPr>
            <w:r>
              <w:rPr>
                <w:sz w:val="24"/>
              </w:rPr>
              <w:t>В том числе:</w:t>
            </w:r>
          </w:p>
        </w:tc>
      </w:tr>
      <w:tr>
        <w:trPr>
          <w:tblHeader w:val="true"/>
          <w:trHeight w:val="20" w:hRule="atLeast"/>
        </w:trPr>
        <w:tc>
          <w:tcPr>
            <w:tcW w:w="2614" w:type="dxa"/>
            <w:vMerge w:val="continue"/>
            <w:tcBorders>
              <w:top w:val="single" w:sz="4" w:space="0" w:color="000000"/>
              <w:left w:val="single" w:sz="4" w:space="0" w:color="000000"/>
              <w:bottom w:val="single" w:sz="4" w:space="0" w:color="000000"/>
            </w:tcBorders>
            <w:vAlign w:val="center"/>
          </w:tcPr>
          <w:p>
            <w:pPr>
              <w:pStyle w:val="-"/>
              <w:rPr>
                <w:sz w:val="24"/>
                <w:highlight w:val="yellow"/>
              </w:rPr>
            </w:pPr>
            <w:r>
              <w:rPr>
                <w:sz w:val="24"/>
                <w:highlight w:val="yellow"/>
              </w:rPr>
            </w:r>
          </w:p>
        </w:tc>
        <w:tc>
          <w:tcPr>
            <w:tcW w:w="1340" w:type="dxa"/>
            <w:vMerge w:val="continue"/>
            <w:tcBorders>
              <w:top w:val="single" w:sz="4" w:space="0" w:color="000000"/>
              <w:left w:val="single" w:sz="4" w:space="0" w:color="000000"/>
              <w:bottom w:val="single" w:sz="4" w:space="0" w:color="000000"/>
            </w:tcBorders>
            <w:vAlign w:val="center"/>
          </w:tcPr>
          <w:p>
            <w:pPr>
              <w:pStyle w:val="-"/>
              <w:rPr>
                <w:sz w:val="24"/>
                <w:highlight w:val="yellow"/>
              </w:rPr>
            </w:pPr>
            <w:r>
              <w:rPr>
                <w:sz w:val="24"/>
                <w:highlight w:val="yellow"/>
              </w:rPr>
            </w:r>
          </w:p>
        </w:tc>
        <w:tc>
          <w:tcPr>
            <w:tcW w:w="1410" w:type="dxa"/>
            <w:gridSpan w:val="2"/>
            <w:vMerge w:val="continue"/>
            <w:tcBorders>
              <w:top w:val="single" w:sz="4" w:space="0" w:color="000000"/>
              <w:left w:val="single" w:sz="4" w:space="0" w:color="000000"/>
              <w:bottom w:val="single" w:sz="4" w:space="0" w:color="000000"/>
            </w:tcBorders>
            <w:vAlign w:val="center"/>
          </w:tcPr>
          <w:p>
            <w:pPr>
              <w:pStyle w:val="-"/>
              <w:rPr>
                <w:sz w:val="24"/>
                <w:highlight w:val="yellow"/>
              </w:rPr>
            </w:pPr>
            <w:r>
              <w:rPr>
                <w:sz w:val="24"/>
                <w:highlight w:val="yellow"/>
              </w:rPr>
            </w:r>
          </w:p>
        </w:tc>
        <w:tc>
          <w:tcPr>
            <w:tcW w:w="1513" w:type="dxa"/>
            <w:vMerge w:val="continue"/>
            <w:tcBorders>
              <w:top w:val="single" w:sz="4" w:space="0" w:color="000000"/>
              <w:left w:val="single" w:sz="4" w:space="0" w:color="000000"/>
              <w:bottom w:val="single" w:sz="4" w:space="0" w:color="000000"/>
            </w:tcBorders>
            <w:vAlign w:val="center"/>
          </w:tcPr>
          <w:p>
            <w:pPr>
              <w:pStyle w:val="-"/>
              <w:rPr>
                <w:sz w:val="24"/>
                <w:highlight w:val="yellow"/>
              </w:rPr>
            </w:pPr>
            <w:r>
              <w:rPr>
                <w:sz w:val="24"/>
                <w:highlight w:val="yellow"/>
              </w:rPr>
            </w:r>
          </w:p>
        </w:tc>
        <w:tc>
          <w:tcPr>
            <w:tcW w:w="1396" w:type="dxa"/>
            <w:gridSpan w:val="2"/>
            <w:tcBorders>
              <w:top w:val="single" w:sz="4" w:space="0" w:color="000000"/>
              <w:left w:val="single" w:sz="4" w:space="0" w:color="000000"/>
              <w:bottom w:val="single" w:sz="4" w:space="0" w:color="000000"/>
            </w:tcBorders>
            <w:vAlign w:val="center"/>
          </w:tcPr>
          <w:p>
            <w:pPr>
              <w:pStyle w:val="-"/>
              <w:rPr>
                <w:sz w:val="24"/>
                <w:highlight w:val="yellow"/>
              </w:rPr>
            </w:pPr>
            <w:r>
              <w:rPr>
                <w:sz w:val="24"/>
              </w:rPr>
              <w:t>малоэтажная застройка</w:t>
            </w:r>
          </w:p>
        </w:tc>
        <w:tc>
          <w:tcPr>
            <w:tcW w:w="1647" w:type="dxa"/>
            <w:tcBorders>
              <w:top w:val="single" w:sz="4" w:space="0" w:color="000000"/>
              <w:left w:val="single" w:sz="4" w:space="0" w:color="000000"/>
              <w:bottom w:val="single" w:sz="4" w:space="0" w:color="000000"/>
              <w:right w:val="single" w:sz="4" w:space="0" w:color="000000"/>
            </w:tcBorders>
            <w:vAlign w:val="center"/>
          </w:tcPr>
          <w:p>
            <w:pPr>
              <w:pStyle w:val="-"/>
              <w:rPr>
                <w:sz w:val="24"/>
                <w:highlight w:val="yellow"/>
              </w:rPr>
            </w:pPr>
            <w:r>
              <w:rPr>
                <w:sz w:val="24"/>
              </w:rPr>
              <w:t>индивидуальная застройка домами с земельным участком</w:t>
            </w:r>
          </w:p>
        </w:tc>
      </w:tr>
      <w:tr>
        <w:trPr>
          <w:trHeight w:val="20" w:hRule="atLeast"/>
        </w:trPr>
        <w:tc>
          <w:tcPr>
            <w:tcW w:w="9920" w:type="dxa"/>
            <w:gridSpan w:val="8"/>
            <w:tcBorders>
              <w:top w:val="single" w:sz="4" w:space="0" w:color="000000"/>
              <w:left w:val="single" w:sz="4" w:space="0" w:color="000000"/>
              <w:bottom w:val="single" w:sz="4" w:space="0" w:color="000000"/>
              <w:right w:val="single" w:sz="4" w:space="0" w:color="000000"/>
            </w:tcBorders>
            <w:tcMar>
              <w:left w:w="5" w:type="dxa"/>
            </w:tcMar>
            <w:vAlign w:val="center"/>
          </w:tcPr>
          <w:p>
            <w:pPr>
              <w:pStyle w:val="-"/>
              <w:rPr>
                <w:sz w:val="24"/>
                <w:highlight w:val="yellow"/>
              </w:rPr>
            </w:pPr>
            <w:r>
              <w:rPr>
                <w:sz w:val="24"/>
              </w:rPr>
              <w:t>Новые территории</w:t>
            </w:r>
          </w:p>
        </w:tc>
      </w:tr>
      <w:tr>
        <w:trPr>
          <w:trHeight w:val="20" w:hRule="atLeast"/>
        </w:trPr>
        <w:tc>
          <w:tcPr>
            <w:tcW w:w="2614" w:type="dxa"/>
            <w:tcBorders>
              <w:top w:val="single" w:sz="4" w:space="0" w:color="000000"/>
              <w:left w:val="single" w:sz="4" w:space="0" w:color="000000"/>
              <w:bottom w:val="single" w:sz="4" w:space="0" w:color="000000"/>
            </w:tcBorders>
            <w:tcMar>
              <w:left w:w="5" w:type="dxa"/>
            </w:tcMar>
            <w:vAlign w:val="center"/>
          </w:tcPr>
          <w:p>
            <w:pPr>
              <w:pStyle w:val="-"/>
              <w:rPr>
                <w:sz w:val="24"/>
                <w:highlight w:val="yellow"/>
              </w:rPr>
            </w:pPr>
            <w:r>
              <w:rPr>
                <w:sz w:val="24"/>
              </w:rPr>
              <w:t>1 квартал перспективной жилой застройки</w:t>
            </w:r>
          </w:p>
        </w:tc>
        <w:tc>
          <w:tcPr>
            <w:tcW w:w="1374" w:type="dxa"/>
            <w:gridSpan w:val="2"/>
            <w:tcBorders>
              <w:top w:val="single" w:sz="4" w:space="0" w:color="000000"/>
              <w:left w:val="single" w:sz="4" w:space="0" w:color="000000"/>
              <w:bottom w:val="single" w:sz="4" w:space="0" w:color="000000"/>
            </w:tcBorders>
            <w:tcMar>
              <w:left w:w="5" w:type="dxa"/>
            </w:tcMar>
            <w:vAlign w:val="center"/>
          </w:tcPr>
          <w:p>
            <w:pPr>
              <w:pStyle w:val="-"/>
              <w:rPr>
                <w:sz w:val="24"/>
                <w:highlight w:val="yellow"/>
              </w:rPr>
            </w:pPr>
            <w:r>
              <w:rPr>
                <w:sz w:val="24"/>
              </w:rPr>
              <w:t>10,4</w:t>
            </w:r>
          </w:p>
        </w:tc>
        <w:tc>
          <w:tcPr>
            <w:tcW w:w="1376" w:type="dxa"/>
            <w:tcBorders>
              <w:top w:val="single" w:sz="4" w:space="0" w:color="000000"/>
              <w:left w:val="single" w:sz="4" w:space="0" w:color="000000"/>
              <w:bottom w:val="single" w:sz="4" w:space="0" w:color="000000"/>
            </w:tcBorders>
            <w:tcMar>
              <w:left w:w="5" w:type="dxa"/>
            </w:tcMar>
            <w:vAlign w:val="center"/>
          </w:tcPr>
          <w:p>
            <w:pPr>
              <w:pStyle w:val="-"/>
              <w:rPr>
                <w:sz w:val="24"/>
                <w:highlight w:val="yellow"/>
              </w:rPr>
            </w:pPr>
            <w:r>
              <w:rPr>
                <w:sz w:val="24"/>
              </w:rPr>
              <w:t>938</w:t>
            </w:r>
          </w:p>
        </w:tc>
        <w:tc>
          <w:tcPr>
            <w:tcW w:w="1513" w:type="dxa"/>
            <w:tcBorders>
              <w:top w:val="single" w:sz="4" w:space="0" w:color="000000"/>
              <w:left w:val="single" w:sz="4" w:space="0" w:color="000000"/>
              <w:bottom w:val="single" w:sz="4" w:space="0" w:color="000000"/>
            </w:tcBorders>
            <w:tcMar>
              <w:left w:w="5" w:type="dxa"/>
            </w:tcMar>
            <w:vAlign w:val="center"/>
          </w:tcPr>
          <w:p>
            <w:pPr>
              <w:pStyle w:val="-"/>
              <w:rPr>
                <w:sz w:val="24"/>
                <w:highlight w:val="yellow"/>
              </w:rPr>
            </w:pPr>
            <w:r>
              <w:rPr>
                <w:sz w:val="24"/>
              </w:rPr>
              <w:t>11,8</w:t>
            </w:r>
          </w:p>
        </w:tc>
        <w:tc>
          <w:tcPr>
            <w:tcW w:w="1375" w:type="dxa"/>
            <w:tcBorders>
              <w:top w:val="single" w:sz="4" w:space="0" w:color="000000"/>
              <w:left w:val="single" w:sz="4" w:space="0" w:color="000000"/>
              <w:bottom w:val="single" w:sz="4" w:space="0" w:color="000000"/>
            </w:tcBorders>
            <w:tcMar>
              <w:left w:w="5" w:type="dxa"/>
            </w:tcMar>
            <w:vAlign w:val="center"/>
          </w:tcPr>
          <w:p>
            <w:pPr>
              <w:pStyle w:val="-"/>
              <w:rPr>
                <w:sz w:val="24"/>
              </w:rPr>
            </w:pPr>
            <w:r>
              <w:rPr>
                <w:sz w:val="24"/>
              </w:rPr>
              <w:t>11,8</w:t>
            </w:r>
          </w:p>
        </w:tc>
        <w:tc>
          <w:tcPr>
            <w:tcW w:w="1668" w:type="dxa"/>
            <w:gridSpan w:val="2"/>
            <w:tcBorders>
              <w:top w:val="single" w:sz="4" w:space="0" w:color="000000"/>
              <w:left w:val="single" w:sz="4" w:space="0" w:color="000000"/>
              <w:bottom w:val="single" w:sz="4" w:space="0" w:color="000000"/>
              <w:right w:val="single" w:sz="4" w:space="0" w:color="000000"/>
            </w:tcBorders>
            <w:tcMar>
              <w:left w:w="5" w:type="dxa"/>
            </w:tcMar>
            <w:vAlign w:val="center"/>
          </w:tcPr>
          <w:p>
            <w:pPr>
              <w:pStyle w:val="-"/>
              <w:rPr>
                <w:sz w:val="24"/>
              </w:rPr>
            </w:pPr>
            <w:r>
              <w:rPr>
                <w:sz w:val="24"/>
              </w:rPr>
              <w:t>-</w:t>
            </w:r>
          </w:p>
        </w:tc>
      </w:tr>
    </w:tbl>
    <w:p>
      <w:pPr>
        <w:pStyle w:val="Normal"/>
        <w:rPr>
          <w:b/>
        </w:rPr>
      </w:pPr>
      <w:r>
        <w:rPr>
          <w:b/>
        </w:rPr>
      </w:r>
    </w:p>
    <w:p>
      <w:pPr>
        <w:pStyle w:val="Normal"/>
        <w:tabs>
          <w:tab w:val="clear" w:pos="708"/>
          <w:tab w:val="left" w:pos="1080" w:leader="none"/>
        </w:tabs>
        <w:suppressAutoHyphens w:val="true"/>
        <w:jc w:val="center"/>
        <w:rPr>
          <w:b/>
        </w:rPr>
      </w:pPr>
      <w:r>
        <w:rPr>
          <w:b/>
        </w:rPr>
        <w:t>Раздел 2. Комплексное развитие системы теплоснабжения.</w:t>
      </w:r>
      <w:r>
        <w:rPr/>
        <w:tab/>
      </w:r>
    </w:p>
    <w:p>
      <w:pPr>
        <w:pStyle w:val="Normal"/>
        <w:jc w:val="both"/>
        <w:rPr/>
      </w:pPr>
      <w:r>
        <w:rPr/>
      </w:r>
    </w:p>
    <w:p>
      <w:pPr>
        <w:pStyle w:val="Normal"/>
        <w:jc w:val="both"/>
        <w:rPr>
          <w:b/>
        </w:rPr>
      </w:pPr>
      <w:r>
        <w:rPr>
          <w:b/>
        </w:rPr>
        <w:t>Основные проектные решения.</w:t>
      </w:r>
    </w:p>
    <w:p>
      <w:pPr>
        <w:pStyle w:val="Normal"/>
        <w:ind w:firstLine="540"/>
        <w:jc w:val="both"/>
        <w:rPr/>
      </w:pPr>
      <w:r>
        <w:rPr/>
        <w:t>Раздел разработан в соответствии с требованиями СНиП 41-02-2003 «Тепловые сети», ТСН 23-339-2002 «Энергетическая эффективность жилых и общественных зданий. Нормативы по энергопотреблению и теплозащите».</w:t>
      </w:r>
    </w:p>
    <w:p>
      <w:pPr>
        <w:pStyle w:val="Normal"/>
        <w:ind w:firstLine="540"/>
        <w:jc w:val="both"/>
        <w:rPr/>
      </w:pPr>
      <w:r>
        <w:rPr/>
        <w:t>В сельском поселении предусматривается реконструкция централизованной системы теплоснабжения в п. Первомайский.</w:t>
      </w:r>
    </w:p>
    <w:p>
      <w:pPr>
        <w:pStyle w:val="Normal"/>
        <w:ind w:firstLine="540"/>
        <w:jc w:val="both"/>
        <w:rPr/>
      </w:pPr>
      <w:r>
        <w:rPr/>
        <w:t>Намечается перевод существующих котельных на газовое топливо, их модернизация. Новые котельные не предусматриваются. (На более подробной стадии проектирования при реконструкции застройки может быть ликвидирована котельная № 10, ее нагрузку покроет котельная № 11).</w:t>
      </w:r>
    </w:p>
    <w:p>
      <w:pPr>
        <w:pStyle w:val="Normal"/>
        <w:ind w:firstLine="540"/>
        <w:jc w:val="both"/>
        <w:rPr/>
      </w:pPr>
      <w:r>
        <w:rPr/>
        <w:t>Для организации теплоснабжения в населенных пунктах предлагается использовать индивидуальные системы теплоснабжения.</w:t>
      </w:r>
    </w:p>
    <w:p>
      <w:pPr>
        <w:pStyle w:val="Normal"/>
        <w:ind w:firstLine="540"/>
        <w:jc w:val="both"/>
        <w:rPr/>
      </w:pPr>
      <w:r>
        <w:rPr/>
        <w:t>Основным видом топлива для источников теплоснабжения намечается природный газ, являющихся энергоносителем для нужд отопления, горячего водоснабжения и пищеприготовления.</w:t>
      </w:r>
    </w:p>
    <w:p>
      <w:pPr>
        <w:pStyle w:val="Normal"/>
        <w:ind w:firstLine="540"/>
        <w:jc w:val="both"/>
        <w:rPr/>
      </w:pPr>
      <w:r>
        <w:rPr/>
        <w:t>Применяемые в системах децентрализованного теплоснабжения теплогенераторы представляют собой газовые водогрейные аппараты, которые могут использоваться для децентрализованного теплоснабжения с установкой непосредственно у потребителя.</w:t>
      </w:r>
    </w:p>
    <w:p>
      <w:pPr>
        <w:pStyle w:val="Normal"/>
        <w:ind w:firstLine="540"/>
        <w:jc w:val="both"/>
        <w:rPr/>
      </w:pPr>
      <w:r>
        <w:rPr/>
        <w:t>Теплогенератор (котел) снабжен необходимыми блокировками и автоматикой безопасности, что дает возможность пользователю самостоятельно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w:t>
      </w:r>
    </w:p>
    <w:p>
      <w:pPr>
        <w:pStyle w:val="Normal"/>
        <w:ind w:firstLine="540"/>
        <w:jc w:val="both"/>
        <w:rPr/>
      </w:pPr>
      <w:r>
        <w:rPr/>
        <w:t>КПД современных малых котлов составляет около 90%. Выбор автономных источников теплоснабжения (средней мощностью 30-40 кВт) осуществляется в зависимости от тепловой нагрузки, функционального назначения аппарата, материала стенового ограждения здания. Спрос удовлетворяется предложениями отечественных и зарубежных предприятий, подставляющих современное оборудование.</w:t>
      </w:r>
    </w:p>
    <w:p>
      <w:pPr>
        <w:pStyle w:val="Normal"/>
        <w:ind w:firstLine="540"/>
        <w:jc w:val="both"/>
        <w:rPr/>
      </w:pPr>
      <w:r>
        <w:rPr/>
        <w:t>При определении расхода теплоты на отопление жилых зданий (при децентрализованном теплоснабжении) в соответствии с ТСН 23-339-2002 Ростовской области «Энергетическая эффективность жилых и общественных зданий. Нормативы по энергопотреблению и теплозащите» использованы следующие параметры:</w:t>
      </w:r>
    </w:p>
    <w:p>
      <w:pPr>
        <w:pStyle w:val="Normal"/>
        <w:ind w:firstLine="540"/>
        <w:jc w:val="both"/>
        <w:rPr/>
      </w:pPr>
      <w:r>
        <w:rPr/>
        <w:t>- расчетная температура наружного воздуха для проектирования отопления – минус 25</w:t>
      </w:r>
      <w:r>
        <w:rPr>
          <w:vertAlign w:val="superscript"/>
        </w:rPr>
        <w:t>0</w:t>
      </w:r>
      <w:r>
        <w:rPr/>
        <w:t>С;</w:t>
      </w:r>
    </w:p>
    <w:p>
      <w:pPr>
        <w:pStyle w:val="Normal"/>
        <w:ind w:firstLine="540"/>
        <w:jc w:val="both"/>
        <w:rPr/>
      </w:pPr>
      <w:r>
        <w:rPr/>
        <w:t>- продолжительность отопительного периода – 184 дня;</w:t>
      </w:r>
    </w:p>
    <w:p>
      <w:pPr>
        <w:pStyle w:val="Normal"/>
        <w:ind w:firstLine="540"/>
        <w:jc w:val="both"/>
        <w:rPr/>
      </w:pPr>
      <w:r>
        <w:rPr/>
        <w:t>- средняя температура отопительного периода для жилых зданий – минус 2,1</w:t>
      </w:r>
      <w:r>
        <w:rPr>
          <w:vertAlign w:val="superscript"/>
        </w:rPr>
        <w:t>0</w:t>
      </w:r>
      <w:r>
        <w:rPr/>
        <w:t>С.</w:t>
      </w:r>
    </w:p>
    <w:p>
      <w:pPr>
        <w:pStyle w:val="Normal"/>
        <w:ind w:firstLine="540"/>
        <w:jc w:val="both"/>
        <w:rPr/>
      </w:pPr>
      <w:r>
        <w:rPr/>
        <w:t>Тепловые потребности подсчитаны для жилых зданий по укрупненным показателям максимального теплового потока на отопление на 1 м</w:t>
      </w:r>
      <w:r>
        <w:rPr>
          <w:vertAlign w:val="superscript"/>
        </w:rPr>
        <w:t>2</w:t>
      </w:r>
      <w:r>
        <w:rPr/>
        <w:t xml:space="preserve"> общей площади жилых зданий (с учетом повышенных требований к теплозащите ограждающих конструкций зданий), расчеты приведены в разделе «Теплоснабжение» в составе генерального плана.</w:t>
      </w:r>
    </w:p>
    <w:p>
      <w:pPr>
        <w:pStyle w:val="Normal"/>
        <w:ind w:firstLine="708"/>
        <w:jc w:val="center"/>
        <w:rPr/>
      </w:pPr>
      <w:r>
        <w:rPr/>
      </w:r>
    </w:p>
    <w:p>
      <w:pPr>
        <w:pStyle w:val="Normal"/>
        <w:jc w:val="center"/>
        <w:rPr>
          <w:b/>
        </w:rPr>
      </w:pPr>
      <w:r>
        <w:rPr>
          <w:b/>
        </w:rPr>
        <w:t>Раздел 3. Газоснабжение.</w:t>
      </w:r>
    </w:p>
    <w:p>
      <w:pPr>
        <w:pStyle w:val="Normal"/>
        <w:jc w:val="both"/>
        <w:rPr/>
      </w:pPr>
      <w:r>
        <w:rPr>
          <w:b/>
        </w:rPr>
        <w:t>Проектные предложения</w:t>
      </w:r>
      <w:r>
        <w:rPr/>
        <w:t>:</w:t>
      </w:r>
    </w:p>
    <w:p>
      <w:pPr>
        <w:pStyle w:val="Normal"/>
        <w:ind w:firstLine="708"/>
        <w:jc w:val="both"/>
        <w:rPr/>
      </w:pPr>
      <w:r>
        <w:rPr/>
        <w:t xml:space="preserve">Источником газоснабжения проектируемых участков застройки являются существующие  сети газопроводов высокого и  среднего давления. </w:t>
      </w:r>
    </w:p>
    <w:p>
      <w:pPr>
        <w:pStyle w:val="Normal"/>
        <w:ind w:firstLine="708"/>
        <w:jc w:val="both"/>
        <w:rPr/>
      </w:pPr>
      <w:r>
        <w:rPr/>
        <w:t>В одноквартирных жилых домах могут  применяться для теплоснабжения  автоматизированные теплогенераторы,  работающие на газовом топливе,  полной заводской готовности. Указанные теплогенераторы  следует устанавливать  в вентилируемом  помещении дома в первом или цокольном этаже, в подвале или на крыше. Генераторы тепловой мощностью до 60 кВт допускается устанавливать на кухне. Ввод газопровода следует осуществлять  непосредственно в кухню или в помещение для размещения теплогенератора.( СНиП 31-02-2001)</w:t>
      </w:r>
    </w:p>
    <w:p>
      <w:pPr>
        <w:pStyle w:val="Normal"/>
        <w:ind w:firstLine="708"/>
        <w:jc w:val="center"/>
        <w:rPr/>
      </w:pPr>
      <w:r>
        <w:rPr/>
        <w:t>ой</w:t>
      </w:r>
    </w:p>
    <w:p>
      <w:pPr>
        <w:pStyle w:val="Normal"/>
        <w:jc w:val="both"/>
        <w:rPr/>
      </w:pPr>
      <w:r>
        <w:rPr/>
        <w:t>Теплоснабжение зданий общественного назначения  в проектируемых кварталах  предусматривается от проектируемых блочных модульных котельных на газовом топливе.</w:t>
      </w:r>
    </w:p>
    <w:p>
      <w:pPr>
        <w:pStyle w:val="Normal"/>
        <w:ind w:firstLine="708"/>
        <w:jc w:val="both"/>
        <w:rPr/>
      </w:pPr>
      <w:r>
        <w:rPr/>
        <w:t>В каждом доме (квартире) предусмотрена установка:</w:t>
      </w:r>
    </w:p>
    <w:p>
      <w:pPr>
        <w:pStyle w:val="Normal"/>
        <w:jc w:val="both"/>
        <w:rPr/>
      </w:pPr>
      <w:r>
        <w:rPr/>
        <w:t>для цели пищеприготовления- газовая четырехконфорочная плита;</w:t>
      </w:r>
    </w:p>
    <w:p>
      <w:pPr>
        <w:pStyle w:val="Normal"/>
        <w:jc w:val="both"/>
        <w:rPr/>
      </w:pPr>
      <w:r>
        <w:rPr/>
        <w:t>для отопления и горячего водоснабжения  - автоматизированный двухконтурный котел на газовом топливе.</w:t>
      </w:r>
    </w:p>
    <w:p>
      <w:pPr>
        <w:pStyle w:val="Normal"/>
        <w:ind w:firstLine="708"/>
        <w:jc w:val="both"/>
        <w:rPr/>
      </w:pPr>
      <w:r>
        <w:rPr/>
        <w:t>Для снижения давления от высокого до низкого и автоматического поддержания его на заданном уровне проектируются газорегуляторные пункты (ГРП, ШРП), которые обеспечивают подачу газа в сеть низкого давления. Подключение проектируемых ГРП и ГРУ котельных предлагается произвести от газопроводов высокого давления (0,6 МПа). Производительность ГРП, принимается по расчетным данным.</w:t>
      </w:r>
    </w:p>
    <w:p>
      <w:pPr>
        <w:pStyle w:val="Normal"/>
        <w:ind w:firstLine="540"/>
        <w:jc w:val="both"/>
        <w:rPr/>
      </w:pPr>
      <w:r>
        <w:rPr/>
        <w:t xml:space="preserve">Сеть газопроводов низкого давления прокладывается  вдоль существующих улиц и проездов на допустимом расстоянии от коммуникаций и сооружений в соответствии со СН и П 42-01-2002. </w:t>
      </w:r>
    </w:p>
    <w:p>
      <w:pPr>
        <w:pStyle w:val="Normal"/>
        <w:ind w:firstLine="540"/>
        <w:jc w:val="both"/>
        <w:rPr/>
      </w:pPr>
      <w:r>
        <w:rPr/>
        <w:t>Для поддержания надёжной и бесперебойной работы системы газоснабжения необходимо поэтапная реализация мероприятий, предусматривающих развитие элементов инфраструктуры газового хозяйства:</w:t>
      </w:r>
    </w:p>
    <w:p>
      <w:pPr>
        <w:pStyle w:val="Normal"/>
        <w:ind w:firstLine="540"/>
        <w:jc w:val="both"/>
        <w:rPr/>
      </w:pPr>
      <w:r>
        <w:rPr/>
        <w:t>- строительство межпоселковых газопроводов к х. Долотинка, х. Водин, х. Большое Зверево;</w:t>
      </w:r>
    </w:p>
    <w:p>
      <w:pPr>
        <w:pStyle w:val="Normal"/>
        <w:ind w:firstLine="540"/>
        <w:jc w:val="both"/>
        <w:rPr/>
      </w:pPr>
      <w:r>
        <w:rPr/>
        <w:t>- перевод потребителей индивидуального малоэтажного строительства на автономные источники тепла, работающие на газовом топливе;</w:t>
      </w:r>
    </w:p>
    <w:p>
      <w:pPr>
        <w:pStyle w:val="Normal"/>
        <w:ind w:firstLine="540"/>
        <w:jc w:val="both"/>
        <w:rPr/>
      </w:pPr>
      <w:r>
        <w:rPr/>
        <w:t>- перевод котельных п. Первомайский на газовое топливо.</w:t>
      </w:r>
    </w:p>
    <w:p>
      <w:pPr>
        <w:pStyle w:val="Normal"/>
        <w:ind w:firstLine="540"/>
        <w:jc w:val="both"/>
        <w:rPr/>
      </w:pPr>
      <w:r>
        <w:rPr/>
        <w:t>- строительство газопроводов низкого давления, установка ГРП.</w:t>
      </w:r>
    </w:p>
    <w:p>
      <w:pPr>
        <w:pStyle w:val="Normal"/>
        <w:ind w:firstLine="708"/>
        <w:jc w:val="both"/>
        <w:rPr/>
      </w:pPr>
      <w:r>
        <w:rPr/>
      </w:r>
    </w:p>
    <w:p>
      <w:pPr>
        <w:pStyle w:val="Normal"/>
        <w:jc w:val="both"/>
        <w:rPr>
          <w:b/>
        </w:rPr>
      </w:pPr>
      <w:r>
        <w:rPr>
          <w:b/>
        </w:rPr>
        <w:t>Расчет расходов газа.</w:t>
      </w:r>
    </w:p>
    <w:p>
      <w:pPr>
        <w:pStyle w:val="Normal"/>
        <w:ind w:firstLine="708"/>
        <w:jc w:val="both"/>
        <w:rPr/>
      </w:pPr>
      <w:r>
        <w:rPr/>
        <w:t xml:space="preserve">Для определения расходов газа и нагрузок на ГРП производится расчет расхода газа для нужд населения, общественных и коммунально-бытовых зданий. </w:t>
      </w:r>
    </w:p>
    <w:p>
      <w:pPr>
        <w:pStyle w:val="Normal"/>
        <w:jc w:val="both"/>
        <w:rPr/>
      </w:pPr>
      <w:r>
        <w:rPr/>
        <w:t>Расчет производился с учетом следующих нормативных документов:</w:t>
      </w:r>
    </w:p>
    <w:p>
      <w:pPr>
        <w:pStyle w:val="Normal"/>
        <w:jc w:val="both"/>
        <w:rPr/>
      </w:pPr>
      <w:r>
        <w:rPr/>
        <w:t>- СНиП 23-01-99* «Строительная климатология»;</w:t>
      </w:r>
    </w:p>
    <w:p>
      <w:pPr>
        <w:pStyle w:val="Normal"/>
        <w:jc w:val="both"/>
        <w:rPr/>
      </w:pPr>
      <w:r>
        <w:rPr/>
        <w:t>- СНиП 42.01.2002 «Газораспределительные системы»;</w:t>
      </w:r>
    </w:p>
    <w:p>
      <w:pPr>
        <w:pStyle w:val="Normal"/>
        <w:jc w:val="both"/>
        <w:rPr/>
      </w:pPr>
      <w:r>
        <w:rPr/>
        <w:t>- СП 42-101-2003 «Общие положения по проектированию и строительству газораспределительных систем из металлических и полиэтиленовых труб»;</w:t>
      </w:r>
    </w:p>
    <w:p>
      <w:pPr>
        <w:pStyle w:val="Normal"/>
        <w:jc w:val="both"/>
        <w:rPr/>
      </w:pPr>
      <w:r>
        <w:rPr/>
        <w:t>- ПБ 12-529-03 «Правила безопасности систем газораспределения и газопотребления».</w:t>
      </w:r>
    </w:p>
    <w:p>
      <w:pPr>
        <w:pStyle w:val="Normal"/>
        <w:ind w:firstLine="708"/>
        <w:jc w:val="both"/>
        <w:rPr/>
      </w:pPr>
      <w:r>
        <w:rPr/>
        <w:t xml:space="preserve">Расход газа для населения на хозяйственно-бытовые нужды принят с учетом расхода на одну четырехконфорочную плиту, установленную в каждом доме. Укрупненный показатель расхода газа на 1 человека принят 120 м³/год при теплоте сгорания газа 34 МДж/м³ (8000 ккал/ч) (СП 42-101-2003). Часовой расход определен с учетом коэффициента часового максимума в соответствии с СП 42-101-2003. Теплоснабжение жилых домов принято от автоматизированных двухконтурных газовых котлов, установленных в каждом доме (квартире). </w:t>
      </w:r>
    </w:p>
    <w:p>
      <w:pPr>
        <w:pStyle w:val="Normal"/>
        <w:ind w:firstLine="708"/>
        <w:jc w:val="both"/>
        <w:rPr/>
      </w:pPr>
      <w:r>
        <w:rPr/>
        <w:t xml:space="preserve">Часовые расходы газа определены с учетом часового максимума в соответствии с СП 42-101-2003. Расход газа котлами при поквартирном теплоснабжении принят в расчете с коэффициентом полезного действия (КПД) 93% с учетом коэффициента одновременности 0,85. </w:t>
      </w:r>
    </w:p>
    <w:p>
      <w:pPr>
        <w:pStyle w:val="Normal"/>
        <w:jc w:val="both"/>
        <w:rPr/>
      </w:pPr>
      <w:r>
        <w:rPr/>
        <w:t>В расчете учтен расход газа для нужд предприятий торговли, коммунально-бытовых предприятий непроизводственного характера 5% от суммарного расхода теплоты на жилые дома по СП 42-101-2003.</w:t>
      </w:r>
    </w:p>
    <w:p>
      <w:pPr>
        <w:pStyle w:val="Normal"/>
        <w:ind w:firstLine="708"/>
        <w:jc w:val="both"/>
        <w:rPr>
          <w:b/>
        </w:rPr>
      </w:pPr>
      <w:r>
        <w:rPr>
          <w:b/>
        </w:rPr>
        <w:t xml:space="preserve">Результаты расчета расходов газа по Долотинскому сельскому поселению </w:t>
      </w:r>
    </w:p>
    <w:tbl>
      <w:tblPr>
        <w:tblW w:w="5000" w:type="pct"/>
        <w:jc w:val="left"/>
        <w:tblInd w:w="0" w:type="dxa"/>
        <w:tblLayout w:type="fixed"/>
        <w:tblCellMar>
          <w:top w:w="0" w:type="dxa"/>
          <w:left w:w="5" w:type="dxa"/>
          <w:bottom w:w="0" w:type="dxa"/>
          <w:right w:w="5" w:type="dxa"/>
        </w:tblCellMar>
        <w:tblLook w:firstRow="0" w:noVBand="0" w:lastRow="0" w:firstColumn="0" w:lastColumn="0" w:noHBand="0" w:val="0000"/>
      </w:tblPr>
      <w:tblGrid>
        <w:gridCol w:w="1535"/>
        <w:gridCol w:w="1199"/>
        <w:gridCol w:w="950"/>
        <w:gridCol w:w="77"/>
        <w:gridCol w:w="1027"/>
        <w:gridCol w:w="1508"/>
        <w:gridCol w:w="1231"/>
        <w:gridCol w:w="1101"/>
        <w:gridCol w:w="1291"/>
      </w:tblGrid>
      <w:tr>
        <w:trPr>
          <w:tblHeader w:val="true"/>
          <w:trHeight w:val="20" w:hRule="atLeast"/>
        </w:trPr>
        <w:tc>
          <w:tcPr>
            <w:tcW w:w="15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Наименование населенного пункта</w:t>
            </w:r>
          </w:p>
          <w:p>
            <w:pPr>
              <w:pStyle w:val="Normal"/>
              <w:jc w:val="center"/>
              <w:rPr/>
            </w:pPr>
            <w:r>
              <w:rPr/>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количество жителей</w:t>
            </w:r>
          </w:p>
        </w:tc>
        <w:tc>
          <w:tcPr>
            <w:tcW w:w="2054" w:type="dxa"/>
            <w:gridSpan w:val="3"/>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Расход газа на хоз-быт. нужды населения</w:t>
            </w:r>
          </w:p>
        </w:tc>
        <w:tc>
          <w:tcPr>
            <w:tcW w:w="2739"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Расход газа на теплоснабжение жилых зданий  от котлов</w:t>
            </w:r>
          </w:p>
        </w:tc>
        <w:tc>
          <w:tcPr>
            <w:tcW w:w="2392"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Общий  расход газа</w:t>
            </w:r>
          </w:p>
        </w:tc>
      </w:tr>
      <w:tr>
        <w:trPr>
          <w:tblHeader w:val="true"/>
          <w:trHeight w:val="20" w:hRule="atLeast"/>
        </w:trPr>
        <w:tc>
          <w:tcPr>
            <w:tcW w:w="15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1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9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Годовой, м3/ год</w:t>
            </w:r>
          </w:p>
        </w:tc>
        <w:tc>
          <w:tcPr>
            <w:tcW w:w="1104"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Часовой,</w:t>
            </w:r>
          </w:p>
          <w:p>
            <w:pPr>
              <w:pStyle w:val="Normal"/>
              <w:jc w:val="center"/>
              <w:rPr/>
            </w:pPr>
            <w:r>
              <w:rPr/>
              <w:t>м3/ ч</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Годовой,</w:t>
            </w:r>
          </w:p>
          <w:p>
            <w:pPr>
              <w:pStyle w:val="Normal"/>
              <w:jc w:val="center"/>
              <w:rPr/>
            </w:pPr>
            <w:r>
              <w:rPr/>
              <w:t>м3/ год</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Часовой,</w:t>
            </w:r>
          </w:p>
          <w:p>
            <w:pPr>
              <w:pStyle w:val="Normal"/>
              <w:jc w:val="center"/>
              <w:rPr/>
            </w:pPr>
            <w:r>
              <w:rPr/>
              <w:t>м3/ ч</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Годовой,</w:t>
            </w:r>
          </w:p>
          <w:p>
            <w:pPr>
              <w:pStyle w:val="Normal"/>
              <w:jc w:val="center"/>
              <w:rPr/>
            </w:pPr>
            <w:r>
              <w:rPr/>
              <w:t>м3/ год</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Часовой,</w:t>
            </w:r>
          </w:p>
          <w:p>
            <w:pPr>
              <w:pStyle w:val="Normal"/>
              <w:jc w:val="center"/>
              <w:rPr/>
            </w:pPr>
            <w:r>
              <w:rPr/>
              <w:t>м3/ ч</w:t>
            </w:r>
          </w:p>
        </w:tc>
      </w:tr>
      <w:tr>
        <w:trPr>
          <w:trHeight w:val="20" w:hRule="atLeast"/>
        </w:trPr>
        <w:tc>
          <w:tcPr>
            <w:tcW w:w="15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п. Первомайский</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940</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112800</w:t>
            </w:r>
          </w:p>
        </w:tc>
        <w:tc>
          <w:tcPr>
            <w:tcW w:w="10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799</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1322110</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545,2</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1434910</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1344,2</w:t>
            </w:r>
          </w:p>
        </w:tc>
      </w:tr>
      <w:tr>
        <w:trPr>
          <w:trHeight w:val="20" w:hRule="atLeast"/>
        </w:trPr>
        <w:tc>
          <w:tcPr>
            <w:tcW w:w="15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х. Молаканский</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700</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highlight w:val="yellow"/>
              </w:rPr>
            </w:pPr>
            <w:r>
              <w:rPr/>
              <w:t>84000</w:t>
            </w:r>
          </w:p>
        </w:tc>
        <w:tc>
          <w:tcPr>
            <w:tcW w:w="10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highlight w:val="yellow"/>
              </w:rPr>
            </w:pPr>
            <w:r>
              <w:rPr/>
              <w:t>595</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984550</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406</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1068550</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1001</w:t>
            </w:r>
          </w:p>
        </w:tc>
      </w:tr>
      <w:tr>
        <w:trPr>
          <w:trHeight w:val="20" w:hRule="atLeast"/>
        </w:trPr>
        <w:tc>
          <w:tcPr>
            <w:tcW w:w="15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х. Водин</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22</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2640</w:t>
            </w:r>
          </w:p>
        </w:tc>
        <w:tc>
          <w:tcPr>
            <w:tcW w:w="10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18,7</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30943</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12,7</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33583</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31,4</w:t>
            </w:r>
          </w:p>
        </w:tc>
      </w:tr>
      <w:tr>
        <w:trPr>
          <w:trHeight w:val="20" w:hRule="atLeast"/>
        </w:trPr>
        <w:tc>
          <w:tcPr>
            <w:tcW w:w="15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х. Большое Зверево</w:t>
            </w:r>
          </w:p>
          <w:p>
            <w:pPr>
              <w:pStyle w:val="Normal"/>
              <w:jc w:val="center"/>
              <w:rPr/>
            </w:pPr>
            <w:r>
              <w:rPr/>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24</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2880</w:t>
            </w:r>
          </w:p>
        </w:tc>
        <w:tc>
          <w:tcPr>
            <w:tcW w:w="10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20,4</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33756</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13,9</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36636</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34,3</w:t>
            </w:r>
          </w:p>
        </w:tc>
      </w:tr>
      <w:tr>
        <w:trPr>
          <w:trHeight w:val="20" w:hRule="atLeast"/>
        </w:trPr>
        <w:tc>
          <w:tcPr>
            <w:tcW w:w="153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х. Долотинка</w:t>
            </w:r>
          </w:p>
        </w:tc>
        <w:tc>
          <w:tcPr>
            <w:tcW w:w="119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340</w:t>
            </w:r>
          </w:p>
        </w:tc>
        <w:tc>
          <w:tcPr>
            <w:tcW w:w="1027" w:type="dxa"/>
            <w:gridSpan w:val="2"/>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40800</w:t>
            </w:r>
          </w:p>
        </w:tc>
        <w:tc>
          <w:tcPr>
            <w:tcW w:w="102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289</w:t>
            </w:r>
          </w:p>
        </w:tc>
        <w:tc>
          <w:tcPr>
            <w:tcW w:w="150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478210</w:t>
            </w:r>
          </w:p>
        </w:tc>
        <w:tc>
          <w:tcPr>
            <w:tcW w:w="123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197,2</w:t>
            </w:r>
          </w:p>
        </w:tc>
        <w:tc>
          <w:tcPr>
            <w:tcW w:w="11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519010</w:t>
            </w:r>
          </w:p>
        </w:tc>
        <w:tc>
          <w:tcPr>
            <w:tcW w:w="129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486,2</w:t>
            </w:r>
          </w:p>
        </w:tc>
      </w:tr>
    </w:tbl>
    <w:p>
      <w:pPr>
        <w:pStyle w:val="Normal"/>
        <w:ind w:firstLine="708"/>
        <w:jc w:val="both"/>
        <w:rPr/>
      </w:pPr>
      <w:r>
        <w:rPr/>
      </w:r>
    </w:p>
    <w:p>
      <w:pPr>
        <w:pStyle w:val="Normal"/>
        <w:ind w:firstLine="708"/>
        <w:jc w:val="both"/>
        <w:rPr/>
      </w:pPr>
      <w:r>
        <w:rPr/>
        <w:t>Газопроводы проектируются подземной прокладки из труб соответствии со СН и П 42-01-2002.</w:t>
      </w:r>
    </w:p>
    <w:p>
      <w:pPr>
        <w:pStyle w:val="Normal"/>
        <w:ind w:firstLine="708"/>
        <w:jc w:val="both"/>
        <w:rPr/>
      </w:pPr>
      <w:r>
        <w:rPr/>
        <w:t xml:space="preserve">Проектируемая схема газоснабжения не включает разработку внутриквартальных газовых сетей и является принципиальной схемой. </w:t>
      </w:r>
    </w:p>
    <w:p>
      <w:pPr>
        <w:pStyle w:val="Normal"/>
        <w:ind w:firstLine="708"/>
        <w:jc w:val="both"/>
        <w:rPr/>
      </w:pPr>
      <w:r>
        <w:rPr/>
        <w:t xml:space="preserve">Сети низкого давления  предлагается закольцевать для обеспечения надежной и бесперебойной подачи газа потребителям. </w:t>
      </w:r>
    </w:p>
    <w:p>
      <w:pPr>
        <w:pStyle w:val="Normal"/>
        <w:jc w:val="center"/>
        <w:rPr>
          <w:b/>
        </w:rPr>
      </w:pPr>
      <w:r>
        <w:rPr>
          <w:b/>
        </w:rPr>
        <w:t>Хутор Долотинка</w:t>
      </w:r>
    </w:p>
    <w:p>
      <w:pPr>
        <w:pStyle w:val="Normal"/>
        <w:jc w:val="both"/>
        <w:rPr>
          <w:b/>
        </w:rPr>
      </w:pPr>
      <w:r>
        <w:rPr>
          <w:b/>
        </w:rPr>
        <w:t>Существующее положение:</w:t>
      </w:r>
    </w:p>
    <w:p>
      <w:pPr>
        <w:pStyle w:val="Normal"/>
        <w:ind w:firstLine="708"/>
        <w:jc w:val="both"/>
        <w:rPr/>
      </w:pPr>
      <w:r>
        <w:rPr/>
        <w:t>В настоящее время хутор Долотинка   природным газом не газифицирован.</w:t>
      </w:r>
    </w:p>
    <w:p>
      <w:pPr>
        <w:pStyle w:val="Normal"/>
        <w:jc w:val="both"/>
        <w:rPr/>
      </w:pPr>
      <w:r>
        <w:rPr>
          <w:b/>
        </w:rPr>
        <w:t>Проектные предложения</w:t>
      </w:r>
      <w:r>
        <w:rPr/>
        <w:t>:</w:t>
      </w:r>
    </w:p>
    <w:p>
      <w:pPr>
        <w:pStyle w:val="Normal"/>
        <w:ind w:firstLine="708"/>
        <w:jc w:val="both"/>
        <w:rPr/>
      </w:pPr>
      <w:r>
        <w:rPr/>
        <w:t xml:space="preserve">В хуторе Долотинка численность населения 333 человека. </w:t>
      </w:r>
    </w:p>
    <w:p>
      <w:pPr>
        <w:pStyle w:val="Normal"/>
        <w:ind w:firstLine="708"/>
        <w:jc w:val="both"/>
        <w:rPr/>
      </w:pPr>
      <w:r>
        <w:rPr/>
        <w:t>Источником газоснабжения является перспективный газопровод высокого давления (0,6 М Па) и ответвление газопровода к хутору Долотинка</w:t>
      </w:r>
    </w:p>
    <w:p>
      <w:pPr>
        <w:pStyle w:val="Normal"/>
        <w:ind w:firstLine="708"/>
        <w:jc w:val="both"/>
        <w:rPr/>
      </w:pPr>
      <w:r>
        <w:rPr/>
        <w:t>Теплоснабжение существующей застройки печное. При газоснабжении хутора предусматривается установка на кухне в каждом доме одной четырехконфорочной плиты с отоплением от теплогенераторов на газовом топливе.</w:t>
      </w:r>
    </w:p>
    <w:p>
      <w:pPr>
        <w:pStyle w:val="Normal"/>
        <w:ind w:firstLine="708"/>
        <w:jc w:val="both"/>
        <w:rPr/>
      </w:pPr>
      <w:r>
        <w:rPr/>
        <w:t>Сеть газопроводов низкого давления прокладывается вдоль основных существующих улиц и проездов на допустимом расстоянии от коммуникаций и сооружений в соответствии со СН и П 42-01-2002.</w:t>
      </w:r>
    </w:p>
    <w:p>
      <w:pPr>
        <w:pStyle w:val="Normal"/>
        <w:ind w:firstLine="708"/>
        <w:jc w:val="both"/>
        <w:rPr/>
      </w:pPr>
      <w:r>
        <w:rPr/>
      </w:r>
    </w:p>
    <w:p>
      <w:pPr>
        <w:pStyle w:val="Normal"/>
        <w:jc w:val="center"/>
        <w:rPr>
          <w:b/>
        </w:rPr>
      </w:pPr>
      <w:r>
        <w:rPr>
          <w:b/>
        </w:rPr>
        <w:t>Хутор Водин</w:t>
      </w:r>
    </w:p>
    <w:p>
      <w:pPr>
        <w:pStyle w:val="Normal"/>
        <w:jc w:val="both"/>
        <w:rPr>
          <w:b/>
        </w:rPr>
      </w:pPr>
      <w:r>
        <w:rPr>
          <w:b/>
        </w:rPr>
        <w:t>Существующее положение:</w:t>
      </w:r>
    </w:p>
    <w:p>
      <w:pPr>
        <w:pStyle w:val="Normal"/>
        <w:ind w:firstLine="708"/>
        <w:jc w:val="both"/>
        <w:rPr/>
      </w:pPr>
      <w:r>
        <w:rPr/>
        <w:t>В настоящее время хутор Водин  природным газом не газифицирован.</w:t>
      </w:r>
    </w:p>
    <w:p>
      <w:pPr>
        <w:pStyle w:val="Normal"/>
        <w:jc w:val="both"/>
        <w:rPr/>
      </w:pPr>
      <w:r>
        <w:rPr>
          <w:b/>
        </w:rPr>
        <w:t>Проектные предложения</w:t>
      </w:r>
      <w:r>
        <w:rPr/>
        <w:t>:</w:t>
      </w:r>
    </w:p>
    <w:p>
      <w:pPr>
        <w:pStyle w:val="Normal"/>
        <w:ind w:firstLine="708"/>
        <w:jc w:val="both"/>
        <w:rPr/>
      </w:pPr>
      <w:r>
        <w:rPr/>
        <w:t xml:space="preserve">В хуторе Водин численность населения 22 человека. </w:t>
      </w:r>
    </w:p>
    <w:p>
      <w:pPr>
        <w:pStyle w:val="Normal"/>
        <w:ind w:firstLine="708"/>
        <w:jc w:val="both"/>
        <w:rPr/>
      </w:pPr>
      <w:r>
        <w:rPr/>
        <w:t>Источником газоснабжения является перспективный газопровод высокого давления (0,6 М Па) и ответвление газопровода к хутору Долотинка</w:t>
      </w:r>
    </w:p>
    <w:p>
      <w:pPr>
        <w:pStyle w:val="Normal"/>
        <w:ind w:firstLine="708"/>
        <w:jc w:val="both"/>
        <w:rPr/>
      </w:pPr>
      <w:r>
        <w:rPr/>
        <w:t>Теплоснабжение существующей застройки печное. При газоснабжении хутора предусматривается установка на кухне в каждом доме одной четырехконфорочной плиты с отоплением от теплогенераторов на газовом топливе.</w:t>
      </w:r>
    </w:p>
    <w:p>
      <w:pPr>
        <w:pStyle w:val="Normal"/>
        <w:ind w:firstLine="708"/>
        <w:jc w:val="both"/>
        <w:rPr/>
      </w:pPr>
      <w:r>
        <w:rPr/>
        <w:t>Сеть газопроводов низкого давления прокладывается вдоль основных существующих улиц и проездов на допустимом расстоянии от коммуникаций и сооружений в соответствии со СН и П 42-01-2002.</w:t>
      </w:r>
    </w:p>
    <w:p>
      <w:pPr>
        <w:pStyle w:val="Normal"/>
        <w:ind w:firstLine="540"/>
        <w:jc w:val="both"/>
        <w:rPr>
          <w:i/>
          <w:i/>
        </w:rPr>
      </w:pPr>
      <w:r>
        <w:rPr>
          <w:i/>
        </w:rPr>
      </w:r>
    </w:p>
    <w:p>
      <w:pPr>
        <w:pStyle w:val="Normal"/>
        <w:jc w:val="center"/>
        <w:rPr>
          <w:b/>
        </w:rPr>
      </w:pPr>
      <w:r>
        <w:rPr>
          <w:b/>
        </w:rPr>
        <w:t>Хутор Большое Зверево</w:t>
      </w:r>
    </w:p>
    <w:p>
      <w:pPr>
        <w:pStyle w:val="Normal"/>
        <w:jc w:val="both"/>
        <w:rPr>
          <w:b/>
        </w:rPr>
      </w:pPr>
      <w:r>
        <w:rPr>
          <w:b/>
        </w:rPr>
        <w:t>Существующее положение:</w:t>
      </w:r>
    </w:p>
    <w:p>
      <w:pPr>
        <w:pStyle w:val="Normal"/>
        <w:ind w:firstLine="708"/>
        <w:jc w:val="both"/>
        <w:rPr/>
      </w:pPr>
      <w:r>
        <w:rPr/>
        <w:t>В настоящее время хутор Большое Зверево  природным газом не газифицирован.</w:t>
      </w:r>
    </w:p>
    <w:p>
      <w:pPr>
        <w:pStyle w:val="Normal"/>
        <w:jc w:val="both"/>
        <w:rPr>
          <w:b/>
        </w:rPr>
      </w:pPr>
      <w:r>
        <w:rPr>
          <w:b/>
        </w:rPr>
        <w:t>Проектные предложения:</w:t>
      </w:r>
    </w:p>
    <w:p>
      <w:pPr>
        <w:pStyle w:val="Normal"/>
        <w:ind w:firstLine="708"/>
        <w:jc w:val="both"/>
        <w:rPr/>
      </w:pPr>
      <w:r>
        <w:rPr/>
        <w:t xml:space="preserve">В хуторе Большое Звере численность населения 24 человек. </w:t>
      </w:r>
    </w:p>
    <w:p>
      <w:pPr>
        <w:pStyle w:val="Normal"/>
        <w:ind w:firstLine="708"/>
        <w:jc w:val="both"/>
        <w:rPr/>
      </w:pPr>
      <w:r>
        <w:rPr/>
        <w:t>Источником газоснабжения является перспективный газопровод высокого давления (0,6 М Па) и ответвление газопровода к хутору Долотинка</w:t>
      </w:r>
    </w:p>
    <w:p>
      <w:pPr>
        <w:pStyle w:val="Normal"/>
        <w:ind w:firstLine="708"/>
        <w:jc w:val="both"/>
        <w:rPr/>
      </w:pPr>
      <w:r>
        <w:rPr/>
        <w:t>Теплоснабжение существующей застройки печное. При газоснабжении хутора предусматривается установка на кухне в каждом доме одной четырехконфорочной плиты с отоплением от теплогенераторов на газовом топливе.</w:t>
      </w:r>
    </w:p>
    <w:p>
      <w:pPr>
        <w:pStyle w:val="Normal"/>
        <w:ind w:firstLine="708"/>
        <w:jc w:val="both"/>
        <w:rPr/>
      </w:pPr>
      <w:r>
        <w:rPr/>
        <w:t>Сеть газопроводов низкого давления прокладывается вдоль основных существующих улиц и проездов на допустимом расстоянии от коммуникаций и сооружений в соответствии со СН и П 42-01-2002.</w:t>
      </w:r>
    </w:p>
    <w:p>
      <w:pPr>
        <w:pStyle w:val="Normal"/>
        <w:jc w:val="both"/>
        <w:rPr>
          <w:i/>
          <w:i/>
        </w:rPr>
      </w:pPr>
      <w:r>
        <w:rPr>
          <w:i/>
        </w:rPr>
      </w:r>
    </w:p>
    <w:p>
      <w:pPr>
        <w:pStyle w:val="Normal"/>
        <w:ind w:firstLine="540"/>
        <w:jc w:val="both"/>
        <w:rPr/>
      </w:pPr>
      <w:r>
        <w:rPr/>
      </w:r>
    </w:p>
    <w:p>
      <w:pPr>
        <w:pStyle w:val="Normal"/>
        <w:jc w:val="center"/>
        <w:rPr>
          <w:b/>
        </w:rPr>
      </w:pPr>
      <w:r>
        <w:rPr>
          <w:b/>
        </w:rPr>
        <w:t>Хутор Молаканский</w:t>
      </w:r>
    </w:p>
    <w:p>
      <w:pPr>
        <w:pStyle w:val="Normal"/>
        <w:jc w:val="both"/>
        <w:rPr>
          <w:b/>
        </w:rPr>
      </w:pPr>
      <w:r>
        <w:rPr>
          <w:b/>
        </w:rPr>
        <w:t>Существующее положение:</w:t>
      </w:r>
    </w:p>
    <w:p>
      <w:pPr>
        <w:pStyle w:val="Normal"/>
        <w:ind w:firstLine="708"/>
        <w:jc w:val="both"/>
        <w:rPr/>
      </w:pPr>
      <w:r>
        <w:rPr/>
        <w:t>В настоящее время в хуторе Молаканский -  газовое и печное отопление.</w:t>
      </w:r>
    </w:p>
    <w:p>
      <w:pPr>
        <w:pStyle w:val="Normal"/>
        <w:jc w:val="both"/>
        <w:rPr>
          <w:b/>
        </w:rPr>
      </w:pPr>
      <w:r>
        <w:rPr>
          <w:b/>
        </w:rPr>
        <w:t>Основные проектные решения:</w:t>
      </w:r>
    </w:p>
    <w:p>
      <w:pPr>
        <w:pStyle w:val="Normal"/>
        <w:ind w:firstLine="708"/>
        <w:jc w:val="both"/>
        <w:rPr/>
      </w:pPr>
      <w:r>
        <w:rPr/>
        <w:t>Теплоснабжение хутора  провести 100 % газификацию от автономных двухконтурных котлов, устанавливаемых у каждого потребителя .</w:t>
      </w:r>
    </w:p>
    <w:p>
      <w:pPr>
        <w:pStyle w:val="Normal"/>
        <w:ind w:firstLine="708"/>
        <w:jc w:val="both"/>
        <w:rPr/>
      </w:pPr>
      <w:r>
        <w:rPr/>
      </w:r>
    </w:p>
    <w:p>
      <w:pPr>
        <w:pStyle w:val="Normal"/>
        <w:jc w:val="both"/>
        <w:rPr/>
      </w:pPr>
      <w:r>
        <w:rPr/>
      </w:r>
    </w:p>
    <w:p>
      <w:pPr>
        <w:pStyle w:val="Normal"/>
        <w:ind w:firstLine="540"/>
        <w:jc w:val="both"/>
        <w:rPr/>
      </w:pPr>
      <w:r>
        <w:rPr/>
      </w:r>
    </w:p>
    <w:p>
      <w:pPr>
        <w:pStyle w:val="Normal"/>
        <w:tabs>
          <w:tab w:val="clear" w:pos="708"/>
          <w:tab w:val="left" w:pos="1080" w:leader="none"/>
        </w:tabs>
        <w:suppressAutoHyphens w:val="true"/>
        <w:jc w:val="center"/>
        <w:rPr>
          <w:b/>
        </w:rPr>
      </w:pPr>
      <w:r>
        <w:rPr>
          <w:b/>
        </w:rPr>
        <w:t>Раздел 4. Комплексное развитие системы водоснабжения.</w:t>
      </w:r>
    </w:p>
    <w:p>
      <w:pPr>
        <w:pStyle w:val="Normal"/>
        <w:tabs>
          <w:tab w:val="clear" w:pos="708"/>
          <w:tab w:val="left" w:pos="1080" w:leader="none"/>
        </w:tabs>
        <w:suppressAutoHyphens w:val="true"/>
        <w:jc w:val="center"/>
        <w:rPr>
          <w:b/>
        </w:rPr>
      </w:pPr>
      <w:r>
        <w:rPr>
          <w:b/>
        </w:rPr>
      </w:r>
    </w:p>
    <w:p>
      <w:pPr>
        <w:pStyle w:val="Normal"/>
        <w:ind w:firstLine="540"/>
        <w:jc w:val="both"/>
        <w:rPr/>
      </w:pPr>
      <w:r>
        <w:rPr/>
        <w:t>Источником хозяйственно-питьевого водоснабжения Долотинского сельского поселения служат подземные воды Гуково- Гундоровского группового водопровода. Фактическая производительность системы из ГГВ составляет - 70 м</w:t>
      </w:r>
      <w:r>
        <w:rPr>
          <w:vertAlign w:val="superscript"/>
        </w:rPr>
        <w:t>3</w:t>
      </w:r>
      <w:r>
        <w:rPr/>
        <w:t xml:space="preserve">/сут. </w:t>
      </w:r>
    </w:p>
    <w:p>
      <w:pPr>
        <w:pStyle w:val="Normal"/>
        <w:ind w:firstLine="540"/>
        <w:jc w:val="both"/>
        <w:rPr/>
      </w:pPr>
      <w:r>
        <w:rPr/>
        <w:t>Вода расходуется на хозяйственно-питьевые нужды населения, включая индивидуальный сектор животноводства и птицеводства.</w:t>
      </w:r>
    </w:p>
    <w:p>
      <w:pPr>
        <w:pStyle w:val="Normal"/>
        <w:ind w:firstLine="540"/>
        <w:rPr/>
      </w:pPr>
      <w:r>
        <w:rPr/>
        <w:t>Регулирующие и запасные ёмкости отсутствуют.</w:t>
      </w:r>
    </w:p>
    <w:p>
      <w:pPr>
        <w:pStyle w:val="Normal"/>
        <w:ind w:firstLine="540"/>
        <w:jc w:val="both"/>
        <w:rPr/>
      </w:pPr>
      <w:r>
        <w:rPr/>
        <w:t>По данным филиала ФГУЗ «Центра гигиены и эпидемиологии в Ростовской области» в г.г. Каменске-Шахтинском, Донецке, Гуково, Зверево, Красный Сулин, Красносулинском и Каменском районах» качество питьевой воды соответствует требованиям СанПиН 2.1.4.1074-01 «Питьевая вода. Гигиенические требования к качеству воды централизованных систем питьевого водоснабжения».</w:t>
      </w:r>
    </w:p>
    <w:p>
      <w:pPr>
        <w:pStyle w:val="Normal"/>
        <w:rPr>
          <w:u w:val="single"/>
        </w:rPr>
      </w:pPr>
      <w:r>
        <w:rPr>
          <w:u w:val="single"/>
        </w:rPr>
      </w:r>
    </w:p>
    <w:p>
      <w:pPr>
        <w:pStyle w:val="Normal"/>
        <w:jc w:val="center"/>
        <w:rPr>
          <w:b/>
          <w:u w:val="single"/>
        </w:rPr>
      </w:pPr>
      <w:r>
        <w:rPr>
          <w:b/>
          <w:u w:val="single"/>
        </w:rPr>
        <w:t>п. Первомайский</w:t>
      </w:r>
    </w:p>
    <w:p>
      <w:pPr>
        <w:pStyle w:val="Normal"/>
        <w:jc w:val="both"/>
        <w:rPr>
          <w:b/>
        </w:rPr>
      </w:pPr>
      <w:r>
        <w:rPr>
          <w:b/>
        </w:rPr>
        <w:t>Существующее положение:</w:t>
      </w:r>
    </w:p>
    <w:p>
      <w:pPr>
        <w:pStyle w:val="Normal"/>
        <w:jc w:val="center"/>
        <w:rPr>
          <w:b/>
          <w:u w:val="single"/>
        </w:rPr>
      </w:pPr>
      <w:r>
        <w:rPr>
          <w:b/>
          <w:u w:val="single"/>
        </w:rPr>
      </w:r>
    </w:p>
    <w:p>
      <w:pPr>
        <w:pStyle w:val="Normal"/>
        <w:jc w:val="center"/>
        <w:rPr>
          <w:b/>
        </w:rPr>
      </w:pPr>
      <w:r>
        <w:rPr>
          <w:b/>
        </w:rPr>
        <w:t>Водопотребление жителей</w:t>
      </w:r>
    </w:p>
    <w:p>
      <w:pPr>
        <w:pStyle w:val="Normal"/>
        <w:ind w:firstLine="900"/>
        <w:jc w:val="right"/>
        <w:rPr/>
      </w:pPr>
      <w:r>
        <w:rPr/>
        <w:t>Таблица 1</w:t>
      </w:r>
    </w:p>
    <w:tbl>
      <w:tblPr>
        <w:tblW w:w="962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913"/>
        <w:gridCol w:w="1935"/>
        <w:gridCol w:w="1913"/>
        <w:gridCol w:w="1945"/>
        <w:gridCol w:w="1915"/>
      </w:tblGrid>
      <w:tr>
        <w:trPr/>
        <w:tc>
          <w:tcPr>
            <w:tcW w:w="1913"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Всего, чел.</w:t>
            </w:r>
          </w:p>
        </w:tc>
        <w:tc>
          <w:tcPr>
            <w:tcW w:w="193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Из них обеспечено водопроводом</w:t>
            </w:r>
          </w:p>
        </w:tc>
        <w:tc>
          <w:tcPr>
            <w:tcW w:w="3858"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Из них имеющих</w:t>
            </w:r>
          </w:p>
        </w:tc>
        <w:tc>
          <w:tcPr>
            <w:tcW w:w="191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Обеспечено привозной водой</w:t>
            </w:r>
          </w:p>
        </w:tc>
      </w:tr>
      <w:tr>
        <w:trPr/>
        <w:tc>
          <w:tcPr>
            <w:tcW w:w="1913" w:type="dxa"/>
            <w:vMerge w:val="continue"/>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935" w:type="dxa"/>
            <w:vMerge w:val="continue"/>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Ввод в дом</w:t>
            </w:r>
          </w:p>
        </w:tc>
        <w:tc>
          <w:tcPr>
            <w:tcW w:w="194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Водозаборные колонки</w:t>
            </w:r>
          </w:p>
        </w:tc>
        <w:tc>
          <w:tcPr>
            <w:tcW w:w="1915" w:type="dxa"/>
            <w:vMerge w:val="continue"/>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r>
      <w:tr>
        <w:trPr/>
        <w:tc>
          <w:tcPr>
            <w:tcW w:w="191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977</w:t>
            </w:r>
          </w:p>
        </w:tc>
        <w:tc>
          <w:tcPr>
            <w:tcW w:w="19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977</w:t>
            </w:r>
          </w:p>
        </w:tc>
        <w:tc>
          <w:tcPr>
            <w:tcW w:w="191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44</w:t>
            </w:r>
          </w:p>
        </w:tc>
        <w:tc>
          <w:tcPr>
            <w:tcW w:w="194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933</w:t>
            </w:r>
          </w:p>
        </w:tc>
        <w:tc>
          <w:tcPr>
            <w:tcW w:w="191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w:t>
            </w:r>
          </w:p>
        </w:tc>
      </w:tr>
    </w:tbl>
    <w:p>
      <w:pPr>
        <w:pStyle w:val="Normal"/>
        <w:ind w:firstLine="540"/>
        <w:rPr/>
      </w:pPr>
      <w:r>
        <w:rPr/>
      </w:r>
    </w:p>
    <w:p>
      <w:pPr>
        <w:pStyle w:val="Normal"/>
        <w:ind w:firstLine="540"/>
        <w:rPr/>
      </w:pPr>
      <w:r>
        <w:rPr/>
        <w:t>Протяженность водопроводных сетей составляет 5200 км, в том числе:</w:t>
      </w:r>
    </w:p>
    <w:p>
      <w:pPr>
        <w:pStyle w:val="Normal"/>
        <w:ind w:firstLine="540"/>
        <w:rPr/>
      </w:pPr>
      <w:r>
        <w:rPr/>
        <w:t>- стальные трубопроводы диаметром 100 мм- 3,2 км.</w:t>
      </w:r>
    </w:p>
    <w:p>
      <w:pPr>
        <w:pStyle w:val="Normal"/>
        <w:ind w:firstLine="540"/>
        <w:rPr/>
      </w:pPr>
      <w:r>
        <w:rPr/>
        <w:t>- чугунные трубопроводы диаметром 100 мм – 2,0 км.</w:t>
      </w:r>
    </w:p>
    <w:p>
      <w:pPr>
        <w:pStyle w:val="Normal"/>
        <w:ind w:firstLine="540"/>
        <w:rPr/>
      </w:pPr>
      <w:r>
        <w:rPr/>
        <w:t>Трубопроводы проложены подземно, на глубине 1,5 м. Трубопроводы изношены и требуют замены.</w:t>
      </w:r>
    </w:p>
    <w:p>
      <w:pPr>
        <w:pStyle w:val="Normal"/>
        <w:ind w:firstLine="540"/>
        <w:rPr/>
      </w:pPr>
      <w:r>
        <w:rPr/>
      </w:r>
    </w:p>
    <w:p>
      <w:pPr>
        <w:pStyle w:val="Normal"/>
        <w:jc w:val="both"/>
        <w:rPr>
          <w:b/>
        </w:rPr>
      </w:pPr>
      <w:r>
        <w:rPr>
          <w:b/>
        </w:rPr>
        <w:t>Основные проектные решения:</w:t>
      </w:r>
    </w:p>
    <w:p>
      <w:pPr>
        <w:pStyle w:val="Normal"/>
        <w:jc w:val="center"/>
        <w:rPr>
          <w:b/>
          <w:u w:val="single"/>
        </w:rPr>
      </w:pPr>
      <w:r>
        <w:rPr>
          <w:b/>
          <w:u w:val="single"/>
        </w:rPr>
      </w:r>
    </w:p>
    <w:p>
      <w:pPr>
        <w:pStyle w:val="Normal"/>
        <w:ind w:firstLine="540"/>
        <w:jc w:val="both"/>
        <w:rPr/>
      </w:pPr>
      <w:r>
        <w:rPr/>
        <w:t>Проектным решением намечается, что централизованная система водоснабжения поселка должна охватить всю жилую и общественную застройку, обеспечить хозяйственно-питьевое водопотребление производственной зоны.</w:t>
      </w:r>
    </w:p>
    <w:p>
      <w:pPr>
        <w:pStyle w:val="Normal"/>
        <w:ind w:firstLine="540"/>
        <w:jc w:val="both"/>
        <w:rPr/>
      </w:pPr>
      <w:r>
        <w:rP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pPr>
        <w:pStyle w:val="Normal"/>
        <w:ind w:firstLine="540"/>
        <w:jc w:val="both"/>
        <w:rPr/>
      </w:pPr>
      <w:r>
        <w:rPr/>
        <w:t>В соответствии с проектом «Реконструкция внутрипоселковых разводящих водопроводных сетей п. Первомайский Красносулинского района» (разработчик – Донской институт науки и проектирования ООО «Донпроект», г.Шахты) предусматривается прокладка водопроводной сети (диаметром 110 мм и 63 мм) из полиэтиленовых труб параллельно существующим сетям. Участок существующего водовода подлежит консервации. Общая протяженность реконструируемых сетей – 5200 м. водопроводная сеть запроектирована кольцевой. Проектируемый водопровод подключается к существующей сети в двух точках: ул. Ленина и ул. Гагарина.</w:t>
      </w:r>
    </w:p>
    <w:p>
      <w:pPr>
        <w:pStyle w:val="Normal"/>
        <w:ind w:firstLine="540"/>
        <w:jc w:val="both"/>
        <w:rPr>
          <w:lang w:val="en-US"/>
        </w:rPr>
      </w:pPr>
      <w:r>
        <w:rPr/>
        <w:t>Водопотребление п. Первомайский на первую очередь и планируемый срок приводится в табл. 2, 3, 4.</w:t>
      </w:r>
    </w:p>
    <w:p>
      <w:pPr>
        <w:pStyle w:val="Normal"/>
        <w:ind w:firstLine="900"/>
        <w:jc w:val="center"/>
        <w:rPr>
          <w:b/>
        </w:rPr>
      </w:pPr>
      <w:r>
        <w:rPr>
          <w:b/>
        </w:rPr>
      </w:r>
    </w:p>
    <w:p>
      <w:pPr>
        <w:pStyle w:val="Normal"/>
        <w:ind w:firstLine="900"/>
        <w:jc w:val="center"/>
        <w:rPr>
          <w:b/>
        </w:rPr>
      </w:pPr>
      <w:r>
        <w:rPr>
          <w:b/>
        </w:rPr>
      </w:r>
    </w:p>
    <w:p>
      <w:pPr>
        <w:pStyle w:val="Normal"/>
        <w:ind w:firstLine="900"/>
        <w:jc w:val="center"/>
        <w:rPr>
          <w:b/>
        </w:rPr>
      </w:pPr>
      <w:r>
        <w:rPr>
          <w:b/>
        </w:rPr>
        <w:t>Расходы воды на хозяйственно-питьевые нужды населения</w:t>
      </w:r>
    </w:p>
    <w:p>
      <w:pPr>
        <w:pStyle w:val="Normal"/>
        <w:ind w:firstLine="900"/>
        <w:jc w:val="right"/>
        <w:rPr>
          <w:lang w:val="en-US"/>
        </w:rPr>
      </w:pPr>
      <w:r>
        <w:rPr/>
        <w:t>Таблица 2</w:t>
      </w:r>
    </w:p>
    <w:tbl>
      <w:tblPr>
        <w:tblW w:w="970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5"/>
        <w:gridCol w:w="3632"/>
        <w:gridCol w:w="898"/>
        <w:gridCol w:w="1006"/>
        <w:gridCol w:w="916"/>
        <w:gridCol w:w="1134"/>
        <w:gridCol w:w="829"/>
        <w:gridCol w:w="854"/>
      </w:tblGrid>
      <w:tr>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32"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Степень благоустройства жилой застройки</w:t>
            </w:r>
          </w:p>
        </w:tc>
        <w:tc>
          <w:tcPr>
            <w:tcW w:w="2820"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I очередь</w:t>
            </w:r>
          </w:p>
        </w:tc>
        <w:tc>
          <w:tcPr>
            <w:tcW w:w="2817"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Расчетный срок</w:t>
            </w:r>
          </w:p>
        </w:tc>
      </w:tr>
      <w:tr>
        <w:trPr/>
        <w:tc>
          <w:tcPr>
            <w:tcW w:w="43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3632"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Норма водопотр. л/сут. на 1 чел.</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Насел., тыс. чел.</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 воды макс. м</w:t>
            </w:r>
            <w:r>
              <w:rPr>
                <w:rFonts w:ascii="Times New Roman" w:hAnsi="Times New Roman"/>
                <w:sz w:val="24"/>
                <w:szCs w:val="24"/>
                <w:vertAlign w:val="superscript"/>
              </w:rPr>
              <w:t>3</w:t>
            </w:r>
            <w:r>
              <w:rPr>
                <w:rFonts w:ascii="Times New Roman" w:hAnsi="Times New Roman"/>
                <w:sz w:val="24"/>
                <w:szCs w:val="24"/>
              </w:rPr>
              <w:t>/сут.</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Норма водопотр. л/сут. на 1 чел.</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Насел.,</w:t>
            </w:r>
          </w:p>
          <w:p>
            <w:pPr>
              <w:pStyle w:val="NoSpacing"/>
              <w:jc w:val="center"/>
              <w:rPr>
                <w:rFonts w:ascii="Times New Roman" w:hAnsi="Times New Roman"/>
                <w:sz w:val="24"/>
                <w:szCs w:val="24"/>
              </w:rPr>
            </w:pPr>
            <w:r>
              <w:rPr>
                <w:rFonts w:ascii="Times New Roman" w:hAnsi="Times New Roman"/>
                <w:sz w:val="24"/>
                <w:szCs w:val="24"/>
              </w:rPr>
              <w:t>тыс. чел.</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 воды макс. м</w:t>
            </w:r>
            <w:r>
              <w:rPr>
                <w:rFonts w:ascii="Times New Roman" w:hAnsi="Times New Roman"/>
                <w:sz w:val="24"/>
                <w:szCs w:val="24"/>
                <w:vertAlign w:val="superscript"/>
              </w:rPr>
              <w:t>3</w:t>
            </w:r>
            <w:r>
              <w:rPr>
                <w:rFonts w:ascii="Times New Roman" w:hAnsi="Times New Roman"/>
                <w:sz w:val="24"/>
                <w:szCs w:val="24"/>
              </w:rPr>
              <w:t>/сут.</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w:t>
            </w:r>
          </w:p>
        </w:tc>
        <w:tc>
          <w:tcPr>
            <w:tcW w:w="3632"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Застройка зданиями оборудованными внутренним водопроводом и канализацией:</w:t>
            </w:r>
          </w:p>
        </w:tc>
        <w:tc>
          <w:tcPr>
            <w:tcW w:w="89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91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829"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3632"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а) без ванн</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125</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0,99</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136,1</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3632"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б) с ванными и местными водонагревателями</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160</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1,08</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190,1</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3632"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в) застройка зданиями с водопользованием из водозаборных колонок</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3632"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г) неучтенные расходы 10%</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13,6</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19,0</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3632"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Итого</w:t>
            </w:r>
          </w:p>
        </w:tc>
        <w:tc>
          <w:tcPr>
            <w:tcW w:w="89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149,7</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2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209,1</w:t>
            </w:r>
          </w:p>
        </w:tc>
      </w:tr>
    </w:tbl>
    <w:p>
      <w:pPr>
        <w:pStyle w:val="Normal"/>
        <w:jc w:val="both"/>
        <w:rPr/>
      </w:pPr>
      <w:r>
        <w:rPr/>
      </w:r>
    </w:p>
    <w:p>
      <w:pPr>
        <w:pStyle w:val="Normal"/>
        <w:jc w:val="center"/>
        <w:rPr>
          <w:b/>
        </w:rPr>
      </w:pPr>
      <w:r>
        <w:rPr>
          <w:b/>
        </w:rPr>
        <w:t>Расход воды для птицы, принадлежащих населению</w:t>
      </w:r>
    </w:p>
    <w:p>
      <w:pPr>
        <w:pStyle w:val="Normal"/>
        <w:ind w:firstLine="900"/>
        <w:jc w:val="right"/>
        <w:rPr>
          <w:lang w:val="en-US"/>
        </w:rPr>
      </w:pPr>
      <w:r>
        <w:rPr/>
        <w:t>Таблица 3</w:t>
      </w:r>
    </w:p>
    <w:tbl>
      <w:tblPr>
        <w:tblW w:w="830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908"/>
        <w:gridCol w:w="1620"/>
        <w:gridCol w:w="855"/>
        <w:gridCol w:w="925"/>
        <w:gridCol w:w="1225"/>
        <w:gridCol w:w="845"/>
        <w:gridCol w:w="925"/>
      </w:tblGrid>
      <w:tr>
        <w:trPr/>
        <w:tc>
          <w:tcPr>
            <w:tcW w:w="1908"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Виды животных</w:t>
            </w:r>
          </w:p>
        </w:tc>
        <w:tc>
          <w:tcPr>
            <w:tcW w:w="3400"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 очередь</w:t>
            </w:r>
          </w:p>
        </w:tc>
        <w:tc>
          <w:tcPr>
            <w:tcW w:w="2995"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Расчетный срок</w:t>
            </w:r>
          </w:p>
        </w:tc>
      </w:tr>
      <w:tr>
        <w:trPr/>
        <w:tc>
          <w:tcPr>
            <w:tcW w:w="1908" w:type="dxa"/>
            <w:vMerge w:val="continue"/>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Норма водопотр.</w:t>
            </w:r>
          </w:p>
          <w:p>
            <w:pPr>
              <w:pStyle w:val="NoSpacing"/>
              <w:jc w:val="center"/>
              <w:rPr>
                <w:rFonts w:ascii="Times New Roman" w:hAnsi="Times New Roman"/>
                <w:sz w:val="24"/>
                <w:szCs w:val="24"/>
              </w:rPr>
            </w:pPr>
            <w:r>
              <w:rPr>
                <w:rFonts w:ascii="Times New Roman" w:hAnsi="Times New Roman"/>
                <w:sz w:val="24"/>
                <w:szCs w:val="24"/>
              </w:rPr>
              <w:t>л/сут.</w:t>
            </w:r>
          </w:p>
        </w:tc>
        <w:tc>
          <w:tcPr>
            <w:tcW w:w="85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Кол-во голов</w:t>
            </w:r>
          </w:p>
        </w:tc>
        <w:tc>
          <w:tcPr>
            <w:tcW w:w="92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w:t>
            </w:r>
          </w:p>
          <w:p>
            <w:pPr>
              <w:pStyle w:val="NoSpacing"/>
              <w:jc w:val="center"/>
              <w:rPr>
                <w:rFonts w:ascii="Times New Roman" w:hAnsi="Times New Roman"/>
                <w:sz w:val="24"/>
                <w:szCs w:val="24"/>
              </w:rPr>
            </w:pP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/сут.</w:t>
            </w:r>
          </w:p>
        </w:tc>
        <w:tc>
          <w:tcPr>
            <w:tcW w:w="122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Норма водопотр.</w:t>
            </w:r>
          </w:p>
          <w:p>
            <w:pPr>
              <w:pStyle w:val="NoSpacing"/>
              <w:jc w:val="center"/>
              <w:rPr>
                <w:rFonts w:ascii="Times New Roman" w:hAnsi="Times New Roman"/>
                <w:sz w:val="24"/>
                <w:szCs w:val="24"/>
              </w:rPr>
            </w:pPr>
            <w:r>
              <w:rPr>
                <w:rFonts w:ascii="Times New Roman" w:hAnsi="Times New Roman"/>
                <w:sz w:val="24"/>
                <w:szCs w:val="24"/>
              </w:rPr>
              <w:t>л/сут.</w:t>
            </w:r>
          </w:p>
        </w:tc>
        <w:tc>
          <w:tcPr>
            <w:tcW w:w="84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Кол-во голов</w:t>
            </w:r>
          </w:p>
        </w:tc>
        <w:tc>
          <w:tcPr>
            <w:tcW w:w="92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w:t>
            </w:r>
          </w:p>
          <w:p>
            <w:pPr>
              <w:pStyle w:val="NoSpacing"/>
              <w:jc w:val="center"/>
              <w:rPr>
                <w:rFonts w:ascii="Times New Roman" w:hAnsi="Times New Roman"/>
                <w:sz w:val="24"/>
                <w:szCs w:val="24"/>
              </w:rPr>
            </w:pP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/сут.</w:t>
            </w:r>
          </w:p>
        </w:tc>
      </w:tr>
      <w:tr>
        <w:trPr/>
        <w:tc>
          <w:tcPr>
            <w:tcW w:w="190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Птица</w:t>
            </w:r>
          </w:p>
        </w:tc>
        <w:tc>
          <w:tcPr>
            <w:tcW w:w="162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w:t>
            </w:r>
          </w:p>
        </w:tc>
        <w:tc>
          <w:tcPr>
            <w:tcW w:w="85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100</w:t>
            </w:r>
          </w:p>
        </w:tc>
        <w:tc>
          <w:tcPr>
            <w:tcW w:w="92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0,1</w:t>
            </w:r>
          </w:p>
        </w:tc>
        <w:tc>
          <w:tcPr>
            <w:tcW w:w="122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w:t>
            </w:r>
          </w:p>
        </w:tc>
        <w:tc>
          <w:tcPr>
            <w:tcW w:w="84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100</w:t>
            </w:r>
          </w:p>
        </w:tc>
        <w:tc>
          <w:tcPr>
            <w:tcW w:w="92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0,1</w:t>
            </w:r>
          </w:p>
        </w:tc>
      </w:tr>
      <w:tr>
        <w:trPr/>
        <w:tc>
          <w:tcPr>
            <w:tcW w:w="190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Итого:</w:t>
            </w:r>
          </w:p>
        </w:tc>
        <w:tc>
          <w:tcPr>
            <w:tcW w:w="162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85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92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0,1</w:t>
            </w:r>
          </w:p>
        </w:tc>
        <w:tc>
          <w:tcPr>
            <w:tcW w:w="122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84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92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0,1</w:t>
            </w:r>
          </w:p>
        </w:tc>
      </w:tr>
    </w:tbl>
    <w:p>
      <w:pPr>
        <w:pStyle w:val="Normal"/>
        <w:ind w:firstLine="900"/>
        <w:jc w:val="both"/>
        <w:rPr/>
      </w:pPr>
      <w:r>
        <w:rPr/>
      </w:r>
    </w:p>
    <w:p>
      <w:pPr>
        <w:pStyle w:val="Normal"/>
        <w:ind w:firstLine="540"/>
        <w:jc w:val="both"/>
        <w:rPr/>
      </w:pPr>
      <w:r>
        <w:rPr/>
        <w:t>Расход воды на наружное пожаротушение определяется в соответствии со СНиП 2.04.02-84*. Число одновременных пожаров равно 1, расход воды на один пожар 10 л/с; дополнительно принимается 5 л/с на внутреннее пожаротушение, продолжительность пожара 3 ч. Общий расход воды на пожаротушение составит 162 м</w:t>
      </w:r>
      <w:r>
        <w:rPr>
          <w:vertAlign w:val="superscript"/>
        </w:rPr>
        <w:t>3</w:t>
      </w:r>
      <w:r>
        <w:rPr/>
        <w:t>.</w:t>
      </w:r>
    </w:p>
    <w:p>
      <w:pPr>
        <w:pStyle w:val="Normal"/>
        <w:ind w:firstLine="540"/>
        <w:jc w:val="both"/>
        <w:rPr/>
      </w:pPr>
      <w:r>
        <w:rPr/>
        <w:t>Запас воды на пожаротушение хранится  в контррезервуаре. Пропуск противопожарных расходов должен учитываться при расчетах водопроводной сети.</w:t>
      </w:r>
    </w:p>
    <w:p>
      <w:pPr>
        <w:pStyle w:val="Normal"/>
        <w:jc w:val="center"/>
        <w:rPr>
          <w:b/>
        </w:rPr>
      </w:pPr>
      <w:r>
        <w:rPr>
          <w:b/>
        </w:rPr>
        <w:t>Суммарный расход воды питьевого качества</w:t>
      </w:r>
    </w:p>
    <w:p>
      <w:pPr>
        <w:pStyle w:val="Normal"/>
        <w:ind w:firstLine="900"/>
        <w:jc w:val="right"/>
        <w:rPr/>
      </w:pPr>
      <w:r>
        <w:rPr/>
        <w:t>Таблица 4</w:t>
      </w:r>
    </w:p>
    <w:tbl>
      <w:tblPr>
        <w:tblW w:w="843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47"/>
        <w:gridCol w:w="3961"/>
        <w:gridCol w:w="1913"/>
        <w:gridCol w:w="1915"/>
      </w:tblGrid>
      <w:tr>
        <w:trPr/>
        <w:tc>
          <w:tcPr>
            <w:tcW w:w="64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96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Наименование потребителей</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 очередь</w:t>
            </w:r>
          </w:p>
        </w:tc>
        <w:tc>
          <w:tcPr>
            <w:tcW w:w="191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Расчетный срок</w:t>
            </w:r>
          </w:p>
        </w:tc>
      </w:tr>
      <w:tr>
        <w:trPr/>
        <w:tc>
          <w:tcPr>
            <w:tcW w:w="64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w:t>
            </w:r>
          </w:p>
        </w:tc>
        <w:tc>
          <w:tcPr>
            <w:tcW w:w="396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Хозяйственно-питьевые нужды населения</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149,7</w:t>
            </w:r>
          </w:p>
        </w:tc>
        <w:tc>
          <w:tcPr>
            <w:tcW w:w="191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209,1</w:t>
            </w:r>
          </w:p>
        </w:tc>
      </w:tr>
      <w:tr>
        <w:trPr/>
        <w:tc>
          <w:tcPr>
            <w:tcW w:w="64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w:t>
            </w:r>
          </w:p>
        </w:tc>
        <w:tc>
          <w:tcPr>
            <w:tcW w:w="396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Расходы воды для животных</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0,1</w:t>
            </w:r>
          </w:p>
        </w:tc>
        <w:tc>
          <w:tcPr>
            <w:tcW w:w="191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0,1</w:t>
            </w:r>
          </w:p>
        </w:tc>
      </w:tr>
      <w:tr>
        <w:trPr/>
        <w:tc>
          <w:tcPr>
            <w:tcW w:w="64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3</w:t>
            </w:r>
          </w:p>
        </w:tc>
        <w:tc>
          <w:tcPr>
            <w:tcW w:w="396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Полив территорий и зелёных насаждений общего пользования</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49,5</w:t>
            </w:r>
          </w:p>
        </w:tc>
        <w:tc>
          <w:tcPr>
            <w:tcW w:w="191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54</w:t>
            </w:r>
          </w:p>
        </w:tc>
      </w:tr>
      <w:tr>
        <w:trPr/>
        <w:tc>
          <w:tcPr>
            <w:tcW w:w="64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396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Итого</w:t>
            </w:r>
          </w:p>
        </w:tc>
        <w:tc>
          <w:tcPr>
            <w:tcW w:w="1913"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199,3</w:t>
            </w:r>
          </w:p>
        </w:tc>
        <w:tc>
          <w:tcPr>
            <w:tcW w:w="1915"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263,2</w:t>
            </w:r>
          </w:p>
        </w:tc>
      </w:tr>
    </w:tbl>
    <w:p>
      <w:pPr>
        <w:pStyle w:val="NoSpacing"/>
        <w:jc w:val="center"/>
        <w:rPr>
          <w:rFonts w:ascii="Times New Roman" w:hAnsi="Times New Roman"/>
          <w:sz w:val="24"/>
          <w:szCs w:val="24"/>
        </w:rPr>
      </w:pPr>
      <w:r>
        <w:rPr>
          <w:rFonts w:ascii="Times New Roman" w:hAnsi="Times New Roman"/>
          <w:sz w:val="24"/>
          <w:szCs w:val="24"/>
        </w:rPr>
      </w:r>
    </w:p>
    <w:p>
      <w:pPr>
        <w:pStyle w:val="Normal"/>
        <w:ind w:firstLine="540"/>
        <w:jc w:val="both"/>
        <w:rPr/>
      </w:pPr>
      <w:r>
        <w:rPr/>
        <w:t>Предусматривается увеличение подачи воды до объёмов, предусмотренных настоящим проектом.</w:t>
      </w:r>
    </w:p>
    <w:p>
      <w:pPr>
        <w:pStyle w:val="Normal"/>
        <w:ind w:firstLine="540"/>
        <w:jc w:val="both"/>
        <w:rPr/>
      </w:pPr>
      <w:r>
        <w:rPr/>
        <w:t>Существующая схема водоснабжения поселка максимально используется. Схема водоснабжения принята объединенная хозяйственно-питьевая, противопожарная, низкого давления.</w:t>
      </w:r>
    </w:p>
    <w:p>
      <w:pPr>
        <w:pStyle w:val="Normal"/>
        <w:ind w:firstLine="540"/>
        <w:jc w:val="both"/>
        <w:rPr/>
      </w:pPr>
      <w:r>
        <w:rPr/>
        <w:t>Учитывая, что централизованное водоснабжение предусматривается для всей застройки, для подачи требуемого объема воды необходимо увеличение объёмов подачи воды из Гуково- Гундоровского группового водопровода.</w:t>
      </w:r>
    </w:p>
    <w:p>
      <w:pPr>
        <w:pStyle w:val="Normal"/>
        <w:ind w:firstLine="540"/>
        <w:jc w:val="both"/>
        <w:rPr/>
      </w:pPr>
      <w:r>
        <w:rPr/>
        <w:t>Для развития водоснабжения поселка предлагается:</w:t>
      </w:r>
    </w:p>
    <w:p>
      <w:pPr>
        <w:pStyle w:val="Normal"/>
        <w:numPr>
          <w:ilvl w:val="0"/>
          <w:numId w:val="6"/>
        </w:numPr>
        <w:jc w:val="both"/>
        <w:rPr/>
      </w:pPr>
      <w:r>
        <w:rPr/>
        <w:t>Обеспечить водоснабжение существующей жилой, общественной и производственной застройки.</w:t>
      </w:r>
    </w:p>
    <w:p>
      <w:pPr>
        <w:pStyle w:val="Normal"/>
        <w:numPr>
          <w:ilvl w:val="0"/>
          <w:numId w:val="6"/>
        </w:numPr>
        <w:jc w:val="both"/>
        <w:rPr/>
      </w:pPr>
      <w:r>
        <w:rPr/>
        <w:t>Реконструкция внутрипоселковых разводящих сетей протяженностью 5,2 км (в соответствии с Комплексной программой модернизации и реконструкции систем водоснабжения и водоотведения населенных пунктов Красносулинского района (Красносулинский филиал ОАО «Донская Водная компания») на 2010-2013 годы): улицы Ленинградская, Рижская, Стандартная, Овражная, Волгоградская, Ленина, К. Маркса, переулки Серпухова, Почтовый, Московский.</w:t>
      </w:r>
    </w:p>
    <w:p>
      <w:pPr>
        <w:pStyle w:val="Normal"/>
        <w:jc w:val="both"/>
        <w:rPr/>
      </w:pPr>
      <w:r>
        <w:rPr/>
      </w:r>
    </w:p>
    <w:p>
      <w:pPr>
        <w:pStyle w:val="Normal"/>
        <w:jc w:val="center"/>
        <w:rPr>
          <w:b/>
        </w:rPr>
      </w:pPr>
      <w:r>
        <w:rPr>
          <w:b/>
        </w:rPr>
        <w:t>Хутор Долотинский</w:t>
      </w:r>
    </w:p>
    <w:p>
      <w:pPr>
        <w:pStyle w:val="Normal"/>
        <w:rPr>
          <w:b/>
        </w:rPr>
      </w:pPr>
      <w:r>
        <w:rPr>
          <w:b/>
        </w:rPr>
        <w:t>Существующее водоснабжение населенных пунктов</w:t>
      </w:r>
    </w:p>
    <w:p>
      <w:pPr>
        <w:pStyle w:val="Normal"/>
        <w:ind w:firstLine="708"/>
        <w:jc w:val="both"/>
        <w:rPr/>
      </w:pPr>
      <w:r>
        <w:rPr/>
        <w:t>В настоящее время на территории х. Долотинка Источником водоснабжения основной массы жителей являются приусадебные колодцы.</w:t>
      </w:r>
    </w:p>
    <w:p>
      <w:pPr>
        <w:pStyle w:val="Normal"/>
        <w:ind w:firstLine="708"/>
        <w:jc w:val="both"/>
        <w:rPr/>
      </w:pPr>
      <w:r>
        <w:rPr/>
        <w:t>В южной части поселения действуют еще несколько артезианских скважин оборудованных водонапорными башнями и обеспечивающими водопотребление животноводческих комплексов, расположенных с южной стороны хутора (МТФ - одна, СТФ - две).</w:t>
      </w:r>
    </w:p>
    <w:p>
      <w:pPr>
        <w:pStyle w:val="Normal"/>
        <w:jc w:val="both"/>
        <w:rPr>
          <w:b/>
        </w:rPr>
      </w:pPr>
      <w:r>
        <w:rPr>
          <w:b/>
        </w:rPr>
        <w:t>Проектное предложение.</w:t>
      </w:r>
    </w:p>
    <w:p>
      <w:pPr>
        <w:pStyle w:val="Normal"/>
        <w:ind w:firstLine="708"/>
        <w:jc w:val="both"/>
        <w:rPr/>
      </w:pPr>
      <w:r>
        <w:rPr/>
        <w:t>В соответствии со СНиП 2.04.02-84 приняты следующие нормы водоснабжения:</w:t>
      </w:r>
    </w:p>
    <w:p>
      <w:pPr>
        <w:pStyle w:val="Normal"/>
        <w:jc w:val="both"/>
        <w:rPr/>
      </w:pPr>
      <w:r>
        <w:rPr/>
        <w:t>160 л/сут на одного человека – обеспечение хозяйственно-питьевых нужд населения, проживающего в жилых домах, оборудованных внутренним водопроводом и канализацией без ванн;</w:t>
      </w:r>
    </w:p>
    <w:p>
      <w:pPr>
        <w:pStyle w:val="Normal"/>
        <w:jc w:val="both"/>
        <w:rPr/>
      </w:pPr>
      <w:r>
        <w:rPr/>
        <w:t>90 л/сут. на одного человека – норма расхода воды на полив улиц и зеленых насаждений (в х. Долотинка этот вид расхода воды осуществляется за счет приусадебных колодцев);</w:t>
      </w:r>
    </w:p>
    <w:p>
      <w:pPr>
        <w:pStyle w:val="Normal"/>
        <w:jc w:val="both"/>
        <w:rPr/>
      </w:pPr>
      <w:r>
        <w:rPr/>
        <w:t>20% от расхода на хозяйственно-питьевые нужды населения приняты дополнительно на обеспечение его продуктами, оказание бытовых услуг и прочее.</w:t>
      </w:r>
    </w:p>
    <w:p>
      <w:pPr>
        <w:pStyle w:val="Normal"/>
        <w:jc w:val="both"/>
        <w:rPr/>
      </w:pPr>
      <w:r>
        <w:rPr/>
        <w:t>расходы воды на пожаротушение приняты по СНиП 2.04.01.85* и составляет:</w:t>
      </w:r>
    </w:p>
    <w:p>
      <w:pPr>
        <w:pStyle w:val="Normal"/>
        <w:jc w:val="both"/>
        <w:rPr/>
      </w:pPr>
      <w:r>
        <w:rPr/>
        <w:t xml:space="preserve">на наружное – 10л/с </w:t>
      </w:r>
    </w:p>
    <w:p>
      <w:pPr>
        <w:pStyle w:val="Normal"/>
        <w:jc w:val="both"/>
        <w:rPr/>
      </w:pPr>
      <w:r>
        <w:rPr/>
        <w:t>на внутреннее – 2 струи по 2,5л/</w:t>
      </w:r>
    </w:p>
    <w:p>
      <w:pPr>
        <w:pStyle w:val="Normal"/>
        <w:jc w:val="both"/>
        <w:rPr/>
      </w:pPr>
      <w:r>
        <w:rPr/>
        <w:t xml:space="preserve"> </w:t>
      </w:r>
      <w:r>
        <w:rPr/>
        <w:t>Время тушения пожара – 3 часа.</w:t>
      </w:r>
    </w:p>
    <w:p>
      <w:pPr>
        <w:pStyle w:val="Normal"/>
        <w:jc w:val="both"/>
        <w:rPr/>
      </w:pPr>
      <w:r>
        <w:rPr/>
        <w:t xml:space="preserve">Проектом предлагается устройство прокладка водопровода от  п. Алмазный </w:t>
      </w:r>
    </w:p>
    <w:p>
      <w:pPr>
        <w:pStyle w:val="Normal"/>
        <w:jc w:val="center"/>
        <w:rPr>
          <w:b/>
        </w:rPr>
      </w:pPr>
      <w:r>
        <w:rPr>
          <w:b/>
        </w:rPr>
        <w:t>Хутор Водин , Хутор Большое Зверево</w:t>
      </w:r>
    </w:p>
    <w:p>
      <w:pPr>
        <w:pStyle w:val="Normal"/>
        <w:ind w:firstLine="708"/>
        <w:jc w:val="both"/>
        <w:rPr/>
      </w:pPr>
      <w:r>
        <w:rPr/>
        <w:t>В настоящее время жилая застройка х.Водин , х.Большое Зверево снабжается водой от индивидуальных колодцев, а водоотведение осуществляется в существующие выгребные ямы, с последующим вывозом в места, отведенные органами санитарного надзора.</w:t>
      </w:r>
    </w:p>
    <w:p>
      <w:pPr>
        <w:pStyle w:val="Normal"/>
        <w:jc w:val="both"/>
        <w:rPr>
          <w:b/>
        </w:rPr>
      </w:pPr>
      <w:r>
        <w:rPr>
          <w:b/>
        </w:rPr>
        <w:t>Проектное предложение:</w:t>
      </w:r>
    </w:p>
    <w:p>
      <w:pPr>
        <w:pStyle w:val="Normal"/>
        <w:ind w:firstLine="708"/>
        <w:jc w:val="both"/>
        <w:rPr/>
      </w:pPr>
      <w:r>
        <w:rPr/>
        <w:t>Проектом предусматривается водоснабжение жилой застройки от индивидуальных шахтных или трубчатых колодцев, оснащенных насосными установками  погружного или всасывающего типа рассчитанных от количества человек, населяющего каждый конкретный дом, в состав которых входят: либо погружной насос с указателями уровней, устанавливаемыми непосредственно в колодце, либо самовсасывающий насос, устанавливаемый в жилом доме, приборы учета потока и давления и управления насосом, а также фильтр тонкой очистки на входе и мембранный бак на 50л, которые устанавливаются в подсобном помещении жилого дома.</w:t>
      </w:r>
    </w:p>
    <w:p>
      <w:pPr>
        <w:pStyle w:val="Normal"/>
        <w:ind w:firstLine="708"/>
        <w:jc w:val="both"/>
        <w:rPr/>
      </w:pPr>
      <w:r>
        <w:rPr/>
        <w:t>Для обеспечения водой питьевого качества рекомендуется устройство индивидуальных угольных фильтров со сменной загрузкой.</w:t>
      </w:r>
    </w:p>
    <w:p>
      <w:pPr>
        <w:pStyle w:val="Normal"/>
        <w:jc w:val="both"/>
        <w:rPr/>
      </w:pPr>
      <w:r>
        <w:rPr/>
        <w:t>Противопожарные мероприятия.</w:t>
      </w:r>
    </w:p>
    <w:p>
      <w:pPr>
        <w:pStyle w:val="Normal"/>
        <w:ind w:firstLine="708"/>
        <w:jc w:val="both"/>
        <w:rPr/>
      </w:pPr>
      <w:r>
        <w:rPr/>
        <w:t xml:space="preserve">Проектом предусматривается обеспечение наружного пожаротушения от парных противопожарных резервуаров закрытого типа, общей ёмкостью 108м3. </w:t>
      </w:r>
    </w:p>
    <w:p>
      <w:pPr>
        <w:pStyle w:val="Normal"/>
        <w:ind w:firstLine="708"/>
        <w:jc w:val="both"/>
        <w:rPr/>
      </w:pPr>
      <w:r>
        <w:rPr/>
        <w:t>Резервуары оснащены водоприемными колодцами для возможности применения мотопомп, а также разворотными площадками 12х12 для пожарной техники. Объем резервуаров принят ориентировочно из условия расхода воды на наружное пожаротушение 10л/с и может быть уточнен при рабочем проектировании в соответствии с действительным строительным объемом возводимых зданий и сооружений.</w:t>
      </w:r>
    </w:p>
    <w:p>
      <w:pPr>
        <w:pStyle w:val="Normal"/>
        <w:ind w:firstLine="708"/>
        <w:jc w:val="both"/>
        <w:rPr/>
      </w:pPr>
      <w:r>
        <w:rPr/>
        <w:t>Местоположение пожарных резервуаров и разворотных площадок на берегу водоемов принято из условия обслуживания ими зданий и сооружений в радиусе 150÷200м.</w:t>
      </w:r>
    </w:p>
    <w:p>
      <w:pPr>
        <w:pStyle w:val="Normal"/>
        <w:ind w:firstLine="708"/>
        <w:jc w:val="both"/>
        <w:rPr/>
      </w:pPr>
      <w:r>
        <w:rPr/>
        <w:t>Для внутреннего пожаротушения проектом рекомендуется оснащать жилые дома индивидуальными устройствами внутриквартирного пожаротушения</w:t>
      </w:r>
    </w:p>
    <w:p>
      <w:pPr>
        <w:pStyle w:val="Normal"/>
        <w:ind w:firstLine="708"/>
        <w:jc w:val="center"/>
        <w:rPr>
          <w:b/>
        </w:rPr>
      </w:pPr>
      <w:r>
        <w:rPr>
          <w:b/>
        </w:rPr>
        <w:t>х. Молаканский</w:t>
      </w:r>
    </w:p>
    <w:p>
      <w:pPr>
        <w:pStyle w:val="Normal"/>
        <w:ind w:firstLine="540"/>
        <w:jc w:val="both"/>
        <w:rPr/>
      </w:pPr>
      <w:r>
        <w:rPr/>
        <w:t xml:space="preserve">Источником хозяйственно-питьевого водоснабжения хутора служат подземные воды Гуково- Гундоровского группового водопровода. </w:t>
      </w:r>
    </w:p>
    <w:p>
      <w:pPr>
        <w:pStyle w:val="Normal"/>
        <w:ind w:firstLine="540"/>
        <w:jc w:val="both"/>
        <w:rPr/>
      </w:pPr>
      <w:r>
        <w:rPr/>
        <w:t>Вода расходуется на хозяйственно-питьевые нужды населения, включая индивидуальный сектор животноводства и птицеводства, общественное птицеводство.</w:t>
      </w:r>
    </w:p>
    <w:p>
      <w:pPr>
        <w:pStyle w:val="Normal"/>
        <w:ind w:firstLine="540"/>
        <w:jc w:val="both"/>
        <w:rPr>
          <w:lang w:val="en-US"/>
        </w:rPr>
      </w:pPr>
      <w:r>
        <w:rPr/>
        <w:t>По данным ООО ПП «Каскад» водопотребление жителей хутора осуществляется в соответствии с табл. 1.</w:t>
      </w:r>
    </w:p>
    <w:p>
      <w:pPr>
        <w:pStyle w:val="Normal"/>
        <w:jc w:val="center"/>
        <w:rPr>
          <w:b/>
        </w:rPr>
      </w:pPr>
      <w:r>
        <w:rPr>
          <w:b/>
        </w:rPr>
        <w:t>Водопотребление жителей</w:t>
      </w:r>
    </w:p>
    <w:p>
      <w:pPr>
        <w:pStyle w:val="Normal"/>
        <w:ind w:firstLine="900"/>
        <w:jc w:val="right"/>
        <w:rPr/>
      </w:pPr>
      <w:r>
        <w:rPr/>
        <w:t>Таблица 1</w:t>
      </w:r>
    </w:p>
    <w:tbl>
      <w:tblPr>
        <w:tblW w:w="957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914"/>
        <w:gridCol w:w="1914"/>
        <w:gridCol w:w="1914"/>
        <w:gridCol w:w="1913"/>
        <w:gridCol w:w="1"/>
        <w:gridCol w:w="1915"/>
      </w:tblGrid>
      <w:tr>
        <w:trPr/>
        <w:tc>
          <w:tcPr>
            <w:tcW w:w="1914"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Всего, чел.</w:t>
            </w:r>
          </w:p>
        </w:tc>
        <w:tc>
          <w:tcPr>
            <w:tcW w:w="1914"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Из них обеспечено водопроводом</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Из них имеющих</w:t>
            </w:r>
          </w:p>
        </w:tc>
        <w:tc>
          <w:tcPr>
            <w:tcW w:w="191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Обеспечено привозной водой</w:t>
            </w:r>
          </w:p>
        </w:tc>
      </w:tr>
      <w:tr>
        <w:trPr/>
        <w:tc>
          <w:tcPr>
            <w:tcW w:w="1914" w:type="dxa"/>
            <w:vMerge w:val="continue"/>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914" w:type="dxa"/>
            <w:vMerge w:val="continue"/>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Ввод в дом</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Водозаборные колонки</w:t>
            </w:r>
          </w:p>
        </w:tc>
        <w:tc>
          <w:tcPr>
            <w:tcW w:w="1915" w:type="dxa"/>
            <w:vMerge w:val="continue"/>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r>
      <w:tr>
        <w:trPr/>
        <w:tc>
          <w:tcPr>
            <w:tcW w:w="19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679</w:t>
            </w:r>
          </w:p>
        </w:tc>
        <w:tc>
          <w:tcPr>
            <w:tcW w:w="19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679</w:t>
            </w:r>
          </w:p>
        </w:tc>
        <w:tc>
          <w:tcPr>
            <w:tcW w:w="191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679</w:t>
            </w:r>
          </w:p>
        </w:tc>
        <w:tc>
          <w:tcPr>
            <w:tcW w:w="1914" w:type="dxa"/>
            <w:gridSpan w:val="2"/>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w:t>
            </w:r>
          </w:p>
        </w:tc>
        <w:tc>
          <w:tcPr>
            <w:tcW w:w="191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w:t>
            </w:r>
          </w:p>
        </w:tc>
      </w:tr>
    </w:tbl>
    <w:p>
      <w:pPr>
        <w:pStyle w:val="Normal"/>
        <w:ind w:firstLine="540"/>
        <w:rPr>
          <w:lang w:val="en-US"/>
        </w:rPr>
      </w:pPr>
      <w:r>
        <w:rPr>
          <w:lang w:val="en-US"/>
        </w:rPr>
      </w:r>
    </w:p>
    <w:p>
      <w:pPr>
        <w:pStyle w:val="Normal"/>
        <w:ind w:firstLine="540"/>
        <w:rPr/>
      </w:pPr>
      <w:r>
        <w:rPr/>
        <w:t>Протяженность водопроводных сетей составляет – 6,3 км, в том числе:</w:t>
      </w:r>
    </w:p>
    <w:p>
      <w:pPr>
        <w:pStyle w:val="Normal"/>
        <w:ind w:firstLine="540"/>
        <w:rPr/>
      </w:pPr>
      <w:r>
        <w:rPr/>
        <w:t>- стальные трубопроводы диаметром 100 мм- 6,3 км.</w:t>
      </w:r>
    </w:p>
    <w:p>
      <w:pPr>
        <w:pStyle w:val="Normal"/>
        <w:ind w:firstLine="540"/>
        <w:rPr/>
      </w:pPr>
      <w:r>
        <w:rPr/>
        <w:t>Трубопроводы проложены подземно, на глубине 1,5 м.</w:t>
      </w:r>
    </w:p>
    <w:p>
      <w:pPr>
        <w:pStyle w:val="Normal"/>
        <w:ind w:firstLine="540"/>
        <w:jc w:val="both"/>
        <w:rPr/>
      </w:pPr>
      <w:r>
        <w:rPr/>
        <w:t>По данным филиала ФГУЗ «Центра гигиены и эпидемиологии в Ростовской области» в г.г. Каменске-Шахтинском, Донецке, Гуково, Зверево, Красный Сулин, Красносулинском и Каменском районах» качество питьевой воды соответствует требованиям СанПиН 2.1.4.1074-01 «Питьевая вода. Гигиенические требования к качеству воды централизованных систем питьевого водоснабжения».</w:t>
      </w:r>
    </w:p>
    <w:p>
      <w:pPr>
        <w:pStyle w:val="Normal"/>
        <w:jc w:val="center"/>
        <w:rPr>
          <w:u w:val="single"/>
        </w:rPr>
      </w:pPr>
      <w:r>
        <w:rPr>
          <w:u w:val="single"/>
        </w:rPr>
      </w:r>
    </w:p>
    <w:p>
      <w:pPr>
        <w:pStyle w:val="Normal"/>
        <w:jc w:val="center"/>
        <w:rPr>
          <w:b/>
          <w:u w:val="single"/>
        </w:rPr>
      </w:pPr>
      <w:r>
        <w:rPr>
          <w:b/>
          <w:u w:val="single"/>
        </w:rPr>
        <w:t>Проектные решения</w:t>
      </w:r>
    </w:p>
    <w:p>
      <w:pPr>
        <w:pStyle w:val="Normal"/>
        <w:jc w:val="center"/>
        <w:rPr>
          <w:b/>
          <w:u w:val="single"/>
        </w:rPr>
      </w:pPr>
      <w:r>
        <w:rPr>
          <w:b/>
          <w:u w:val="single"/>
        </w:rPr>
      </w:r>
    </w:p>
    <w:p>
      <w:pPr>
        <w:pStyle w:val="Normal"/>
        <w:ind w:firstLine="540"/>
        <w:jc w:val="both"/>
        <w:rPr/>
      </w:pPr>
      <w:r>
        <w:rPr/>
        <w:t xml:space="preserve">В качестве источника водоснабжения на </w:t>
      </w:r>
      <w:r>
        <w:rPr>
          <w:lang w:val="en-US"/>
        </w:rPr>
        <w:t>I</w:t>
      </w:r>
      <w:r>
        <w:rPr/>
        <w:t xml:space="preserve"> очередь строительства и на расчетный срок намечается водоснабжение от Гуково-Гундоровского водопровода.</w:t>
      </w:r>
    </w:p>
    <w:p>
      <w:pPr>
        <w:pStyle w:val="Normal"/>
        <w:ind w:firstLine="540"/>
        <w:jc w:val="both"/>
        <w:rPr/>
      </w:pPr>
      <w:r>
        <w:rPr/>
        <w:t>Проектным решением намечается, что централизованная система водоснабжения хутора охватывает всю жилую и общественную застройку, обеспечивает хозяйственно-питьевое водопотребление производственной зоны.</w:t>
      </w:r>
    </w:p>
    <w:p>
      <w:pPr>
        <w:pStyle w:val="Normal"/>
        <w:ind w:firstLine="540"/>
        <w:jc w:val="both"/>
        <w:rPr/>
      </w:pPr>
      <w:r>
        <w:rPr/>
        <w:t>Наружное противопожарное водоснабжение  предусматривается в соответствии со СНиП 2.04.02-84* и СП 8.13130.2009 «Источники наружного противопожарного водоснабжения».</w:t>
      </w:r>
    </w:p>
    <w:p>
      <w:pPr>
        <w:pStyle w:val="Normal"/>
        <w:ind w:firstLine="540"/>
        <w:jc w:val="both"/>
        <w:rPr/>
      </w:pPr>
      <w:r>
        <w:rPr/>
        <w:t>Разработан проект «Реконструкция внутрипоселковых разводящих сетей х. Молаканский Красносулинского района (Донской институт науки и проектирования ООО «Допроект», г.Шахты)», в соответствии с которым запроектирована кольцевая водопроводная сеть из полиэтиленовых и стальных трубопроводов (диаметром от 63 до 160 см), в т.ч. запроектирован участок перехода через овраг. Разводящие сети проходят по улицам Кирова, Гагарина, Придорожная, Победы, 1 Мая, переулку Школьный.</w:t>
      </w:r>
    </w:p>
    <w:p>
      <w:pPr>
        <w:pStyle w:val="Normal"/>
        <w:ind w:firstLine="540"/>
        <w:jc w:val="both"/>
        <w:rPr>
          <w:lang w:val="en-US"/>
        </w:rPr>
      </w:pPr>
      <w:r>
        <w:rPr/>
        <w:t>Водопотребление х. Молоканский на первую очередь и планируемый срок приводится в табл. 2, 3, 4.</w:t>
      </w:r>
    </w:p>
    <w:p>
      <w:pPr>
        <w:pStyle w:val="Normal"/>
        <w:ind w:firstLine="540"/>
        <w:jc w:val="both"/>
        <w:rPr>
          <w:lang w:val="en-US"/>
        </w:rPr>
      </w:pPr>
      <w:r>
        <w:rPr>
          <w:lang w:val="en-US"/>
        </w:rPr>
      </w:r>
    </w:p>
    <w:p>
      <w:pPr>
        <w:pStyle w:val="Normal"/>
        <w:ind w:firstLine="900"/>
        <w:jc w:val="center"/>
        <w:rPr>
          <w:b/>
        </w:rPr>
      </w:pPr>
      <w:r>
        <w:rPr>
          <w:b/>
        </w:rPr>
        <w:t>Расходы воды на хозяйственно-питьевые нужды населения</w:t>
      </w:r>
    </w:p>
    <w:p>
      <w:pPr>
        <w:pStyle w:val="Normal"/>
        <w:ind w:firstLine="900" w:right="969"/>
        <w:jc w:val="right"/>
        <w:rPr/>
      </w:pPr>
      <w:r>
        <w:rPr/>
        <w:t>Таблица 2</w:t>
      </w:r>
    </w:p>
    <w:tbl>
      <w:tblPr>
        <w:tblW w:w="898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35"/>
        <w:gridCol w:w="2913"/>
        <w:gridCol w:w="897"/>
        <w:gridCol w:w="1006"/>
        <w:gridCol w:w="916"/>
        <w:gridCol w:w="1134"/>
        <w:gridCol w:w="830"/>
        <w:gridCol w:w="854"/>
      </w:tblGrid>
      <w:tr>
        <w:trPr/>
        <w:tc>
          <w:tcPr>
            <w:tcW w:w="435"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2913"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Степень благоустройства жилой застройки</w:t>
            </w:r>
          </w:p>
        </w:tc>
        <w:tc>
          <w:tcPr>
            <w:tcW w:w="2819"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I очередь</w:t>
            </w:r>
          </w:p>
        </w:tc>
        <w:tc>
          <w:tcPr>
            <w:tcW w:w="2818"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Расчетный срок</w:t>
            </w:r>
          </w:p>
        </w:tc>
      </w:tr>
      <w:tr>
        <w:trPr/>
        <w:tc>
          <w:tcPr>
            <w:tcW w:w="435"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2913"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Норма водопотр. л/сут. на 1 чел.</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Насел., тыс. чел.</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 воды макс. м</w:t>
            </w:r>
            <w:r>
              <w:rPr>
                <w:rFonts w:ascii="Times New Roman" w:hAnsi="Times New Roman"/>
                <w:sz w:val="24"/>
                <w:szCs w:val="24"/>
                <w:vertAlign w:val="superscript"/>
              </w:rPr>
              <w:t>3</w:t>
            </w:r>
            <w:r>
              <w:rPr>
                <w:rFonts w:ascii="Times New Roman" w:hAnsi="Times New Roman"/>
                <w:sz w:val="24"/>
                <w:szCs w:val="24"/>
              </w:rPr>
              <w:t>/сут.</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Норма водопотр. л/сут. на 1 чел.</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Насел.,</w:t>
            </w:r>
          </w:p>
          <w:p>
            <w:pPr>
              <w:pStyle w:val="NoSpacing"/>
              <w:jc w:val="center"/>
              <w:rPr>
                <w:rFonts w:ascii="Times New Roman" w:hAnsi="Times New Roman"/>
                <w:sz w:val="24"/>
                <w:szCs w:val="24"/>
              </w:rPr>
            </w:pPr>
            <w:r>
              <w:rPr>
                <w:rFonts w:ascii="Times New Roman" w:hAnsi="Times New Roman"/>
                <w:sz w:val="24"/>
                <w:szCs w:val="24"/>
              </w:rPr>
              <w:t>тыс. чел.</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 воды макс. м</w:t>
            </w:r>
            <w:r>
              <w:rPr>
                <w:rFonts w:ascii="Times New Roman" w:hAnsi="Times New Roman"/>
                <w:sz w:val="24"/>
                <w:szCs w:val="24"/>
                <w:vertAlign w:val="superscript"/>
              </w:rPr>
              <w:t>3</w:t>
            </w:r>
            <w:r>
              <w:rPr>
                <w:rFonts w:ascii="Times New Roman" w:hAnsi="Times New Roman"/>
                <w:sz w:val="24"/>
                <w:szCs w:val="24"/>
              </w:rPr>
              <w:t>/сут.</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w:t>
            </w:r>
          </w:p>
        </w:tc>
        <w:tc>
          <w:tcPr>
            <w:tcW w:w="291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Застройка зданиями оборудованными внутренним водопроводом и канализацией:</w:t>
            </w:r>
          </w:p>
        </w:tc>
        <w:tc>
          <w:tcPr>
            <w:tcW w:w="897"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91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83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291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а) без ванн</w:t>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125</w:t>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0,690</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94,9</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291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б) с ванными и местными водонагревателями</w:t>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160</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0,750</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132,0</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291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в) застройка зданиями с водопользованием из водозаборных колонок</w:t>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291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г) неучтенные расходы 10%</w:t>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13,2</w:t>
            </w:r>
          </w:p>
        </w:tc>
      </w:tr>
      <w:tr>
        <w:trPr/>
        <w:tc>
          <w:tcPr>
            <w:tcW w:w="435"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2913"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Итого</w:t>
            </w:r>
          </w:p>
        </w:tc>
        <w:tc>
          <w:tcPr>
            <w:tcW w:w="89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00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91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104,4</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3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85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145,2</w:t>
            </w:r>
          </w:p>
        </w:tc>
      </w:tr>
    </w:tbl>
    <w:p>
      <w:pPr>
        <w:pStyle w:val="Normal"/>
        <w:jc w:val="both"/>
        <w:rPr/>
      </w:pPr>
      <w:r>
        <w:rPr/>
      </w:r>
    </w:p>
    <w:p>
      <w:pPr>
        <w:pStyle w:val="Normal"/>
        <w:jc w:val="center"/>
        <w:rPr>
          <w:b/>
        </w:rPr>
      </w:pPr>
      <w:r>
        <w:rPr>
          <w:b/>
        </w:rPr>
        <w:t>Расход воды для скота и птицы, принадлежащих населению</w:t>
      </w:r>
    </w:p>
    <w:p>
      <w:pPr>
        <w:pStyle w:val="Normal"/>
        <w:ind w:firstLine="900" w:right="969"/>
        <w:jc w:val="right"/>
        <w:rPr/>
      </w:pPr>
      <w:r>
        <w:rPr/>
        <w:t>Таблица 3</w:t>
      </w:r>
    </w:p>
    <w:tbl>
      <w:tblPr>
        <w:tblW w:w="832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8"/>
        <w:gridCol w:w="1469"/>
        <w:gridCol w:w="1051"/>
        <w:gridCol w:w="1260"/>
        <w:gridCol w:w="1224"/>
        <w:gridCol w:w="846"/>
        <w:gridCol w:w="924"/>
      </w:tblGrid>
      <w:tr>
        <w:trPr/>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Виды животных</w:t>
            </w:r>
          </w:p>
        </w:tc>
        <w:tc>
          <w:tcPr>
            <w:tcW w:w="3780"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 очередь</w:t>
            </w:r>
          </w:p>
        </w:tc>
        <w:tc>
          <w:tcPr>
            <w:tcW w:w="2994"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Расчетный срок</w:t>
            </w:r>
          </w:p>
        </w:tc>
      </w:tr>
      <w:tr>
        <w:trPr/>
        <w:tc>
          <w:tcPr>
            <w:tcW w:w="1548" w:type="dxa"/>
            <w:vMerge w:val="continue"/>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469"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Норма водопотр.</w:t>
            </w:r>
          </w:p>
          <w:p>
            <w:pPr>
              <w:pStyle w:val="NoSpacing"/>
              <w:jc w:val="center"/>
              <w:rPr>
                <w:rFonts w:ascii="Times New Roman" w:hAnsi="Times New Roman"/>
                <w:sz w:val="24"/>
                <w:szCs w:val="24"/>
              </w:rPr>
            </w:pPr>
            <w:r>
              <w:rPr>
                <w:rFonts w:ascii="Times New Roman" w:hAnsi="Times New Roman"/>
                <w:sz w:val="24"/>
                <w:szCs w:val="24"/>
              </w:rPr>
              <w:t>л/сут.</w:t>
            </w:r>
          </w:p>
        </w:tc>
        <w:tc>
          <w:tcPr>
            <w:tcW w:w="105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Кол-во голов</w:t>
            </w: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w:t>
            </w:r>
          </w:p>
          <w:p>
            <w:pPr>
              <w:pStyle w:val="NoSpacing"/>
              <w:jc w:val="center"/>
              <w:rPr>
                <w:rFonts w:ascii="Times New Roman" w:hAnsi="Times New Roman"/>
                <w:sz w:val="24"/>
                <w:szCs w:val="24"/>
              </w:rPr>
            </w:pP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/сут.</w:t>
            </w:r>
          </w:p>
        </w:tc>
        <w:tc>
          <w:tcPr>
            <w:tcW w:w="122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Норма водопотр.</w:t>
            </w:r>
          </w:p>
          <w:p>
            <w:pPr>
              <w:pStyle w:val="NoSpacing"/>
              <w:jc w:val="center"/>
              <w:rPr>
                <w:rFonts w:ascii="Times New Roman" w:hAnsi="Times New Roman"/>
                <w:sz w:val="24"/>
                <w:szCs w:val="24"/>
              </w:rPr>
            </w:pPr>
            <w:r>
              <w:rPr>
                <w:rFonts w:ascii="Times New Roman" w:hAnsi="Times New Roman"/>
                <w:sz w:val="24"/>
                <w:szCs w:val="24"/>
              </w:rPr>
              <w:t>л/сут.</w:t>
            </w:r>
          </w:p>
        </w:tc>
        <w:tc>
          <w:tcPr>
            <w:tcW w:w="84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Кол-во голов</w:t>
            </w:r>
          </w:p>
        </w:tc>
        <w:tc>
          <w:tcPr>
            <w:tcW w:w="92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w:t>
            </w:r>
          </w:p>
          <w:p>
            <w:pPr>
              <w:pStyle w:val="NoSpacing"/>
              <w:jc w:val="center"/>
              <w:rPr>
                <w:rFonts w:ascii="Times New Roman" w:hAnsi="Times New Roman"/>
                <w:sz w:val="24"/>
                <w:szCs w:val="24"/>
              </w:rPr>
            </w:pP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/сут.</w:t>
            </w:r>
          </w:p>
        </w:tc>
      </w:tr>
      <w:tr>
        <w:trPr/>
        <w:tc>
          <w:tcPr>
            <w:tcW w:w="154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Коровы</w:t>
            </w:r>
          </w:p>
        </w:tc>
        <w:tc>
          <w:tcPr>
            <w:tcW w:w="1469"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50</w:t>
            </w:r>
          </w:p>
        </w:tc>
        <w:tc>
          <w:tcPr>
            <w:tcW w:w="1051"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100</w:t>
            </w:r>
          </w:p>
        </w:tc>
        <w:tc>
          <w:tcPr>
            <w:tcW w:w="126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5</w:t>
            </w:r>
          </w:p>
        </w:tc>
        <w:tc>
          <w:tcPr>
            <w:tcW w:w="12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50</w:t>
            </w:r>
          </w:p>
        </w:tc>
        <w:tc>
          <w:tcPr>
            <w:tcW w:w="84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100</w:t>
            </w:r>
          </w:p>
        </w:tc>
        <w:tc>
          <w:tcPr>
            <w:tcW w:w="9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5</w:t>
            </w:r>
          </w:p>
        </w:tc>
      </w:tr>
      <w:tr>
        <w:trPr/>
        <w:tc>
          <w:tcPr>
            <w:tcW w:w="154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Свиньи</w:t>
            </w:r>
          </w:p>
        </w:tc>
        <w:tc>
          <w:tcPr>
            <w:tcW w:w="1469"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15</w:t>
            </w:r>
          </w:p>
        </w:tc>
        <w:tc>
          <w:tcPr>
            <w:tcW w:w="1051"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360</w:t>
            </w:r>
          </w:p>
        </w:tc>
        <w:tc>
          <w:tcPr>
            <w:tcW w:w="126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5,4</w:t>
            </w:r>
          </w:p>
        </w:tc>
        <w:tc>
          <w:tcPr>
            <w:tcW w:w="12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15</w:t>
            </w:r>
          </w:p>
        </w:tc>
        <w:tc>
          <w:tcPr>
            <w:tcW w:w="84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360</w:t>
            </w:r>
          </w:p>
        </w:tc>
        <w:tc>
          <w:tcPr>
            <w:tcW w:w="9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5,4</w:t>
            </w:r>
          </w:p>
        </w:tc>
      </w:tr>
      <w:tr>
        <w:trPr/>
        <w:tc>
          <w:tcPr>
            <w:tcW w:w="154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Овцы и козы</w:t>
            </w:r>
          </w:p>
        </w:tc>
        <w:tc>
          <w:tcPr>
            <w:tcW w:w="1469"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6</w:t>
            </w:r>
          </w:p>
        </w:tc>
        <w:tc>
          <w:tcPr>
            <w:tcW w:w="1051"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6</w:t>
            </w:r>
          </w:p>
        </w:tc>
        <w:tc>
          <w:tcPr>
            <w:tcW w:w="126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0,1</w:t>
            </w:r>
          </w:p>
        </w:tc>
        <w:tc>
          <w:tcPr>
            <w:tcW w:w="12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6</w:t>
            </w:r>
          </w:p>
        </w:tc>
        <w:tc>
          <w:tcPr>
            <w:tcW w:w="84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6</w:t>
            </w:r>
          </w:p>
        </w:tc>
        <w:tc>
          <w:tcPr>
            <w:tcW w:w="9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0,1</w:t>
            </w:r>
          </w:p>
        </w:tc>
      </w:tr>
      <w:tr>
        <w:trPr/>
        <w:tc>
          <w:tcPr>
            <w:tcW w:w="154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Птица</w:t>
            </w:r>
          </w:p>
        </w:tc>
        <w:tc>
          <w:tcPr>
            <w:tcW w:w="1469"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w:t>
            </w:r>
          </w:p>
        </w:tc>
        <w:tc>
          <w:tcPr>
            <w:tcW w:w="1051"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700</w:t>
            </w:r>
          </w:p>
        </w:tc>
        <w:tc>
          <w:tcPr>
            <w:tcW w:w="126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0,7</w:t>
            </w:r>
          </w:p>
        </w:tc>
        <w:tc>
          <w:tcPr>
            <w:tcW w:w="12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w:t>
            </w:r>
          </w:p>
        </w:tc>
        <w:tc>
          <w:tcPr>
            <w:tcW w:w="84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700</w:t>
            </w:r>
          </w:p>
        </w:tc>
        <w:tc>
          <w:tcPr>
            <w:tcW w:w="9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0,7</w:t>
            </w:r>
          </w:p>
        </w:tc>
      </w:tr>
      <w:tr>
        <w:trPr/>
        <w:tc>
          <w:tcPr>
            <w:tcW w:w="1548"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Итого:</w:t>
            </w:r>
          </w:p>
        </w:tc>
        <w:tc>
          <w:tcPr>
            <w:tcW w:w="1469"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051"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1260"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11,2</w:t>
            </w:r>
          </w:p>
        </w:tc>
        <w:tc>
          <w:tcPr>
            <w:tcW w:w="12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846"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r>
          </w:p>
        </w:tc>
        <w:tc>
          <w:tcPr>
            <w:tcW w:w="924" w:type="dxa"/>
            <w:tcBorders>
              <w:top w:val="single" w:sz="4" w:space="0" w:color="000000"/>
              <w:left w:val="single" w:sz="4" w:space="0" w:color="000000"/>
              <w:bottom w:val="single" w:sz="4" w:space="0" w:color="000000"/>
              <w:right w:val="single" w:sz="4" w:space="0" w:color="000000"/>
            </w:tcBorders>
          </w:tcPr>
          <w:p>
            <w:pPr>
              <w:pStyle w:val="NoSpacing"/>
              <w:jc w:val="center"/>
              <w:rPr>
                <w:rFonts w:ascii="Times New Roman" w:hAnsi="Times New Roman"/>
                <w:sz w:val="24"/>
                <w:szCs w:val="24"/>
              </w:rPr>
            </w:pPr>
            <w:r>
              <w:rPr>
                <w:rFonts w:ascii="Times New Roman" w:hAnsi="Times New Roman"/>
                <w:sz w:val="24"/>
                <w:szCs w:val="24"/>
              </w:rPr>
              <w:t>11,2</w:t>
            </w:r>
          </w:p>
        </w:tc>
      </w:tr>
    </w:tbl>
    <w:p>
      <w:pPr>
        <w:pStyle w:val="Normal"/>
        <w:ind w:firstLine="900"/>
        <w:jc w:val="both"/>
        <w:rPr/>
      </w:pPr>
      <w:r>
        <w:rPr/>
      </w:r>
    </w:p>
    <w:p>
      <w:pPr>
        <w:pStyle w:val="Normal"/>
        <w:ind w:firstLine="540"/>
        <w:jc w:val="both"/>
        <w:rPr/>
      </w:pPr>
      <w:r>
        <w:rPr/>
        <w:t>Расход воды на наружное пожаротушение определяется в соответствии со СНиП 2.04.02-84*. Число одновременных пожаров равно 1, расход воды на один пожар 10 л/с; дополнительно принимается 5 л/с на внутреннее пожаротушение, продолжительность пожара 3 ч. Пропуск противопожарных расходов должен учитываться при расчетах водопроводной сети. Объем воды на противопожарные нужды хранится в резервуарах. Общий расход воды на нужды пожаротушения составит 162 м</w:t>
      </w:r>
      <w:r>
        <w:rPr>
          <w:vertAlign w:val="superscript"/>
        </w:rPr>
        <w:t>3</w:t>
      </w:r>
      <w:r>
        <w:rPr/>
        <w:t>.</w:t>
      </w:r>
    </w:p>
    <w:p>
      <w:pPr>
        <w:pStyle w:val="Normal"/>
        <w:jc w:val="center"/>
        <w:rPr>
          <w:b/>
        </w:rPr>
      </w:pPr>
      <w:r>
        <w:rPr>
          <w:b/>
        </w:rPr>
        <w:t>Суммарный расход воды питьевого качества</w:t>
      </w:r>
    </w:p>
    <w:p>
      <w:pPr>
        <w:pStyle w:val="Normal"/>
        <w:ind w:firstLine="900" w:right="969"/>
        <w:jc w:val="right"/>
        <w:rPr/>
      </w:pPr>
      <w:r>
        <w:rPr/>
        <w:t>Таблица 4</w:t>
      </w:r>
    </w:p>
    <w:tbl>
      <w:tblPr>
        <w:tblW w:w="825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48"/>
        <w:gridCol w:w="3780"/>
        <w:gridCol w:w="1914"/>
        <w:gridCol w:w="1914"/>
      </w:tblGrid>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78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Наименование потребителей</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 очередь</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Расчетный срок</w:t>
            </w:r>
          </w:p>
        </w:tc>
      </w:tr>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w:t>
            </w:r>
          </w:p>
        </w:tc>
        <w:tc>
          <w:tcPr>
            <w:tcW w:w="378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Хозяйственно-питьевые нужды населения</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104,4</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145,2</w:t>
            </w:r>
          </w:p>
        </w:tc>
      </w:tr>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w:t>
            </w:r>
          </w:p>
        </w:tc>
        <w:tc>
          <w:tcPr>
            <w:tcW w:w="378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Расходы воды для животных</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11,2</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11,2</w:t>
            </w:r>
          </w:p>
        </w:tc>
      </w:tr>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3</w:t>
            </w:r>
          </w:p>
        </w:tc>
        <w:tc>
          <w:tcPr>
            <w:tcW w:w="378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Полив территорий и зелёных насаждений общего пользования</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34,5</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37,5</w:t>
            </w:r>
          </w:p>
        </w:tc>
      </w:tr>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4</w:t>
            </w:r>
          </w:p>
        </w:tc>
        <w:tc>
          <w:tcPr>
            <w:tcW w:w="378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Производственные нужды (птицефабрика)</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340</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340</w:t>
            </w:r>
          </w:p>
        </w:tc>
      </w:tr>
      <w:tr>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3780"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Итого</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490,1</w:t>
            </w:r>
          </w:p>
        </w:tc>
        <w:tc>
          <w:tcPr>
            <w:tcW w:w="191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533,9</w:t>
            </w:r>
          </w:p>
        </w:tc>
      </w:tr>
    </w:tbl>
    <w:p>
      <w:pPr>
        <w:pStyle w:val="Normal"/>
        <w:ind w:firstLine="540"/>
        <w:jc w:val="both"/>
        <w:rPr/>
      </w:pPr>
      <w:r>
        <w:rPr/>
      </w:r>
    </w:p>
    <w:p>
      <w:pPr>
        <w:pStyle w:val="Normal"/>
        <w:ind w:firstLine="540"/>
        <w:jc w:val="both"/>
        <w:rPr/>
      </w:pPr>
      <w:r>
        <w:rPr/>
        <w:t>Предусматривается увеличение подачи воды до объёмов, предусмотренных настоящим проектом.</w:t>
      </w:r>
    </w:p>
    <w:p>
      <w:pPr>
        <w:pStyle w:val="Normal"/>
        <w:ind w:firstLine="540"/>
        <w:jc w:val="both"/>
        <w:rPr/>
      </w:pPr>
      <w:r>
        <w:rPr/>
        <w:t>Существующая схема водоснабжения хутора максимально используется. Схема водоснабжения принята объединенная хозяйственно-питьевая, противопожарная, низкого давления.</w:t>
      </w:r>
    </w:p>
    <w:p>
      <w:pPr>
        <w:pStyle w:val="Normal"/>
        <w:ind w:firstLine="540"/>
        <w:jc w:val="both"/>
        <w:rPr/>
      </w:pPr>
      <w:r>
        <w:rPr/>
        <w:t>Учитывая, что централизованное водоснабжение предусматривается для всей застройки, для подачи требуемого объема воды необходимо увеличение объёмов подачи воды из Гуково- Гундоровского группового водопровода.</w:t>
      </w:r>
    </w:p>
    <w:p>
      <w:pPr>
        <w:pStyle w:val="Normal"/>
        <w:ind w:firstLine="540"/>
        <w:jc w:val="both"/>
        <w:rPr/>
      </w:pPr>
      <w:r>
        <w:rPr/>
        <w:t>Для развития водоснабжения хутора предлагается:</w:t>
      </w:r>
    </w:p>
    <w:p>
      <w:pPr>
        <w:pStyle w:val="Normal"/>
        <w:numPr>
          <w:ilvl w:val="0"/>
          <w:numId w:val="7"/>
        </w:numPr>
        <w:jc w:val="both"/>
        <w:rPr/>
      </w:pPr>
      <w:r>
        <w:rPr/>
        <w:t>Обеспечить водоснабжение существующей жилой, общественной и производственной застройки.</w:t>
      </w:r>
    </w:p>
    <w:p>
      <w:pPr>
        <w:pStyle w:val="Normal"/>
        <w:numPr>
          <w:ilvl w:val="0"/>
          <w:numId w:val="7"/>
        </w:numPr>
        <w:jc w:val="both"/>
        <w:rPr/>
      </w:pPr>
      <w:r>
        <w:rPr/>
        <w:t>Реконструкция внутрипоселковых разводящих сетей протяженностью 8,53 км (в соответствии с Комплексной программой модернизации и реконструкции систем водоснабжения и водоотведения населенных пунктов Красносулинского района (Красносулинский филиал ОАО «Донская Водная компания») на 2010-2013 годы).</w:t>
      </w:r>
    </w:p>
    <w:p>
      <w:pPr>
        <w:pStyle w:val="Normal"/>
        <w:tabs>
          <w:tab w:val="clear" w:pos="708"/>
          <w:tab w:val="left" w:pos="1080" w:leader="none"/>
        </w:tabs>
        <w:suppressAutoHyphens w:val="true"/>
        <w:jc w:val="center"/>
        <w:rPr>
          <w:b/>
        </w:rPr>
      </w:pPr>
      <w:r>
        <w:rPr>
          <w:b/>
        </w:rPr>
      </w:r>
    </w:p>
    <w:p>
      <w:pPr>
        <w:pStyle w:val="Normal"/>
        <w:tabs>
          <w:tab w:val="clear" w:pos="708"/>
          <w:tab w:val="left" w:pos="1080" w:leader="none"/>
        </w:tabs>
        <w:suppressAutoHyphens w:val="true"/>
        <w:jc w:val="center"/>
        <w:rPr/>
      </w:pPr>
      <w:r>
        <w:rPr>
          <w:b/>
        </w:rPr>
        <w:t>Раздел 6. Комплексное развитие системы электроснабжения</w:t>
      </w:r>
      <w:r>
        <w:rPr/>
        <w:t>.</w:t>
      </w:r>
    </w:p>
    <w:p>
      <w:pPr>
        <w:pStyle w:val="Normal"/>
        <w:jc w:val="both"/>
        <w:rPr>
          <w:b/>
        </w:rPr>
      </w:pPr>
      <w:r>
        <w:rPr>
          <w:b/>
        </w:rPr>
        <w:t>Существующее положение:</w:t>
      </w:r>
    </w:p>
    <w:p>
      <w:pPr>
        <w:pStyle w:val="Normal"/>
        <w:ind w:firstLine="540"/>
        <w:jc w:val="both"/>
        <w:rPr/>
      </w:pPr>
      <w:r>
        <w:rPr/>
        <w:t>Электроснабжение поселения осуществляется от сетей Ростовской энергосистемы и генерирующих источников электроснабжения.</w:t>
      </w:r>
    </w:p>
    <w:p>
      <w:pPr>
        <w:pStyle w:val="Normal"/>
        <w:ind w:firstLine="540"/>
        <w:jc w:val="both"/>
        <w:rPr/>
      </w:pPr>
      <w:r>
        <w:rPr/>
        <w:t>Электросетевые объекты напряжением 35 кВ, 110 кВ находятся в ведении филиала ОАО «МРСК Юга» - «Ростовэнерго», производственное отделение «Западные электрические сети Ростовэнерго».</w:t>
      </w:r>
    </w:p>
    <w:p>
      <w:pPr>
        <w:pStyle w:val="Normal"/>
        <w:ind w:firstLine="709"/>
        <w:jc w:val="both"/>
        <w:rPr/>
      </w:pPr>
      <w:r>
        <w:rPr/>
      </w:r>
    </w:p>
    <w:p>
      <w:pPr>
        <w:pStyle w:val="Normal"/>
        <w:rPr>
          <w:b/>
        </w:rPr>
      </w:pPr>
      <w:r>
        <w:rPr>
          <w:b/>
        </w:rPr>
        <w:t>Проектные решения.</w:t>
      </w:r>
    </w:p>
    <w:p>
      <w:pPr>
        <w:pStyle w:val="312"/>
        <w:spacing w:before="0" w:after="0"/>
        <w:ind w:left="0"/>
        <w:jc w:val="both"/>
        <w:rPr>
          <w:b/>
          <w:color w:val="auto"/>
          <w:sz w:val="24"/>
          <w:szCs w:val="24"/>
          <w:lang w:eastAsia="ru-RU"/>
        </w:rPr>
      </w:pPr>
      <w:r>
        <w:rPr>
          <w:b/>
          <w:color w:val="auto"/>
          <w:sz w:val="24"/>
          <w:szCs w:val="24"/>
          <w:lang w:eastAsia="ru-RU"/>
        </w:rPr>
        <w:t>Расчет электрических нагрузок.</w:t>
      </w:r>
    </w:p>
    <w:p>
      <w:pPr>
        <w:pStyle w:val="Normal"/>
        <w:ind w:left="360"/>
        <w:jc w:val="both"/>
        <w:rPr/>
      </w:pPr>
      <w:r>
        <w:rPr/>
      </w:r>
    </w:p>
    <w:p>
      <w:pPr>
        <w:pStyle w:val="BodyTextIndent"/>
        <w:spacing w:before="0" w:after="0"/>
        <w:ind w:firstLine="709" w:left="283"/>
        <w:jc w:val="both"/>
        <w:rPr/>
      </w:pPr>
      <w:r>
        <w:rPr/>
        <w:t xml:space="preserve">Нагрузки потребителей жилищно-коммунального сектора подсчитаны на основе архитектурно-планировочных решений генплана в соответствии с СНиП 2.07.01-89* «Градостроительство. Планировка и застройка городских и сельских поселений» и «Инструкцией по проектированию городских электрических сетей» РД 34.20.185-94. </w:t>
      </w:r>
    </w:p>
    <w:p>
      <w:pPr>
        <w:pStyle w:val="BodyTextIndent"/>
        <w:spacing w:before="0" w:after="0"/>
        <w:ind w:firstLine="284" w:left="283"/>
        <w:jc w:val="both"/>
        <w:rPr/>
      </w:pPr>
      <w:r>
        <w:rPr/>
        <w:t>При расчете нагрузок предусматривается дополнительно 15%-20% резерва мощности на неучтенные потребители и рост нагрузок.</w:t>
      </w:r>
    </w:p>
    <w:p>
      <w:pPr>
        <w:pStyle w:val="312"/>
        <w:spacing w:before="0" w:after="0"/>
        <w:ind w:firstLine="567" w:left="0"/>
        <w:jc w:val="both"/>
        <w:rPr>
          <w:color w:val="auto"/>
          <w:sz w:val="24"/>
          <w:szCs w:val="24"/>
          <w:lang w:eastAsia="ru-RU"/>
        </w:rPr>
      </w:pPr>
      <w:r>
        <w:rPr>
          <w:color w:val="auto"/>
          <w:sz w:val="24"/>
          <w:szCs w:val="24"/>
          <w:lang w:eastAsia="ru-RU"/>
        </w:rPr>
        <w:tab/>
        <w:t>Потребляемая мощность приведена к шинам 10кВ центров питания (ПС 220/110/10 и ПС 110/35/10) с учетом совмещения максимумов.</w:t>
      </w:r>
    </w:p>
    <w:p>
      <w:pPr>
        <w:pStyle w:val="312"/>
        <w:spacing w:before="0" w:after="0"/>
        <w:ind w:left="0"/>
        <w:jc w:val="both"/>
        <w:rPr>
          <w:color w:val="auto"/>
          <w:sz w:val="24"/>
          <w:szCs w:val="24"/>
          <w:lang w:eastAsia="ru-RU"/>
        </w:rPr>
      </w:pPr>
      <w:r>
        <w:rPr>
          <w:color w:val="auto"/>
          <w:sz w:val="24"/>
          <w:szCs w:val="24"/>
          <w:lang w:eastAsia="ru-RU"/>
        </w:rPr>
        <w:tab/>
        <w:t>Удельная расчетная коммунально-бытовая нагрузка на 1 чел. составляет</w:t>
        <w:tab/>
        <w:t xml:space="preserve"> </w:t>
      </w:r>
    </w:p>
    <w:p>
      <w:pPr>
        <w:pStyle w:val="312"/>
        <w:widowControl/>
        <w:numPr>
          <w:ilvl w:val="0"/>
          <w:numId w:val="5"/>
        </w:numPr>
        <w:tabs>
          <w:tab w:val="clear" w:pos="708"/>
          <w:tab w:val="left" w:pos="783" w:leader="none"/>
        </w:tabs>
        <w:spacing w:before="0" w:after="0"/>
        <w:ind w:hanging="360" w:left="783"/>
        <w:jc w:val="both"/>
        <w:rPr>
          <w:color w:val="auto"/>
          <w:sz w:val="24"/>
          <w:szCs w:val="24"/>
          <w:lang w:eastAsia="ru-RU"/>
        </w:rPr>
      </w:pPr>
      <w:r>
        <w:rPr>
          <w:color w:val="auto"/>
          <w:sz w:val="24"/>
          <w:szCs w:val="24"/>
          <w:lang w:eastAsia="ru-RU"/>
        </w:rPr>
        <w:t>0,41 кВт/чел с плитами на природном газе;</w:t>
      </w:r>
    </w:p>
    <w:p>
      <w:pPr>
        <w:pStyle w:val="312"/>
        <w:widowControl/>
        <w:numPr>
          <w:ilvl w:val="0"/>
          <w:numId w:val="5"/>
        </w:numPr>
        <w:tabs>
          <w:tab w:val="clear" w:pos="708"/>
          <w:tab w:val="left" w:pos="783" w:leader="none"/>
        </w:tabs>
        <w:spacing w:before="0" w:after="0"/>
        <w:ind w:hanging="360" w:left="783"/>
        <w:jc w:val="both"/>
        <w:rPr>
          <w:color w:val="auto"/>
          <w:sz w:val="24"/>
          <w:szCs w:val="24"/>
          <w:lang w:eastAsia="ru-RU"/>
        </w:rPr>
      </w:pPr>
      <w:r>
        <w:rPr>
          <w:color w:val="auto"/>
          <w:sz w:val="24"/>
          <w:szCs w:val="24"/>
          <w:lang w:eastAsia="ru-RU"/>
        </w:rPr>
        <w:t xml:space="preserve">0,50 кВт/чел со стационарными электроплитами </w:t>
      </w:r>
    </w:p>
    <w:p>
      <w:pPr>
        <w:pStyle w:val="312"/>
        <w:spacing w:before="0" w:after="0"/>
        <w:ind w:left="0"/>
        <w:jc w:val="both"/>
        <w:rPr>
          <w:color w:val="auto"/>
          <w:sz w:val="24"/>
          <w:szCs w:val="24"/>
          <w:lang w:eastAsia="ru-RU"/>
        </w:rPr>
      </w:pPr>
      <w:r>
        <w:rPr>
          <w:color w:val="auto"/>
          <w:sz w:val="24"/>
          <w:szCs w:val="24"/>
          <w:lang w:eastAsia="ru-RU"/>
        </w:rPr>
        <w:tab/>
        <w:t>Удельное электропотребление на 1 чел. в год составляет:</w:t>
      </w:r>
    </w:p>
    <w:p>
      <w:pPr>
        <w:pStyle w:val="312"/>
        <w:widowControl/>
        <w:tabs>
          <w:tab w:val="clear" w:pos="708"/>
          <w:tab w:val="left" w:pos="783" w:leader="none"/>
        </w:tabs>
        <w:spacing w:before="0" w:after="0"/>
        <w:ind w:hanging="360" w:left="783"/>
        <w:jc w:val="both"/>
        <w:rPr>
          <w:color w:val="auto"/>
          <w:sz w:val="24"/>
          <w:szCs w:val="24"/>
          <w:lang w:eastAsia="ru-RU"/>
        </w:rPr>
      </w:pPr>
      <w:r>
        <w:rPr>
          <w:color w:val="auto"/>
          <w:sz w:val="24"/>
          <w:szCs w:val="24"/>
          <w:lang w:eastAsia="ru-RU"/>
        </w:rPr>
        <w:t>2170 кВт.*ч/год при годовом числе часов использования максимума электрической нагрузки 5300 час с плитами на природном газе;</w:t>
      </w:r>
    </w:p>
    <w:p>
      <w:pPr>
        <w:pStyle w:val="312"/>
        <w:widowControl/>
        <w:tabs>
          <w:tab w:val="clear" w:pos="708"/>
          <w:tab w:val="left" w:pos="783" w:leader="none"/>
        </w:tabs>
        <w:spacing w:before="0" w:after="0"/>
        <w:ind w:hanging="360" w:left="783"/>
        <w:jc w:val="both"/>
        <w:rPr>
          <w:color w:val="auto"/>
          <w:sz w:val="24"/>
          <w:szCs w:val="24"/>
          <w:lang w:eastAsia="ru-RU"/>
        </w:rPr>
      </w:pPr>
      <w:r>
        <w:rPr>
          <w:color w:val="auto"/>
          <w:sz w:val="24"/>
          <w:szCs w:val="24"/>
          <w:lang w:eastAsia="ru-RU"/>
        </w:rPr>
        <w:t xml:space="preserve">2750 кВт.*ч/год при годовом числе часов использования максимума электрической нагрузки 5500 час со стационарными электроплитами </w:t>
      </w:r>
    </w:p>
    <w:p>
      <w:pPr>
        <w:pStyle w:val="312"/>
        <w:spacing w:before="0" w:after="0"/>
        <w:ind w:left="425"/>
        <w:jc w:val="both"/>
        <w:rPr>
          <w:color w:val="auto"/>
          <w:sz w:val="24"/>
          <w:szCs w:val="24"/>
          <w:lang w:eastAsia="ru-RU"/>
        </w:rPr>
      </w:pPr>
      <w:r>
        <w:rPr>
          <w:color w:val="auto"/>
          <w:sz w:val="24"/>
          <w:szCs w:val="24"/>
          <w:lang w:eastAsia="ru-RU"/>
        </w:rPr>
        <w:tab/>
        <w:t xml:space="preserve">Пищеприготовление – газовые плиты и стационарные электроплиты </w:t>
      </w:r>
    </w:p>
    <w:p>
      <w:pPr>
        <w:pStyle w:val="Normal"/>
        <w:ind w:firstLine="540"/>
        <w:jc w:val="both"/>
        <w:rPr/>
      </w:pPr>
      <w:r>
        <w:rPr/>
        <w:t>Все нагрузки приведены с учетом кондиционирования</w:t>
      </w:r>
    </w:p>
    <w:p>
      <w:pPr>
        <w:pStyle w:val="Normal"/>
        <w:jc w:val="center"/>
        <w:rPr>
          <w:u w:val="single"/>
        </w:rPr>
      </w:pPr>
      <w:r>
        <w:rPr>
          <w:u w:val="single"/>
        </w:rPr>
      </w:r>
    </w:p>
    <w:p>
      <w:pPr>
        <w:pStyle w:val="Normal"/>
        <w:rPr>
          <w:b/>
          <w:u w:val="single"/>
        </w:rPr>
      </w:pPr>
      <w:r>
        <w:rPr>
          <w:b/>
          <w:u w:val="single"/>
        </w:rPr>
        <w:t>Проектные решения</w:t>
      </w:r>
    </w:p>
    <w:p>
      <w:pPr>
        <w:pStyle w:val="Normal"/>
        <w:ind w:firstLine="540"/>
        <w:jc w:val="both"/>
        <w:rPr/>
      </w:pPr>
      <w:r>
        <w:rPr/>
        <w:t>Источником электроснабжения хутора остаются существующие понизительные подстанции.</w:t>
      </w:r>
    </w:p>
    <w:p>
      <w:pPr>
        <w:pStyle w:val="Normal"/>
        <w:ind w:firstLine="540"/>
        <w:jc w:val="both"/>
        <w:rPr/>
      </w:pPr>
      <w:r>
        <w:rPr/>
        <w:t>Потребителями электроэнергии являются жилые и общественные здания, сельскохозяйственные потребители. Уровень электропотребления будет корректироваться в зависимости от возможных инвестиционных проектов.</w:t>
      </w:r>
    </w:p>
    <w:p>
      <w:pPr>
        <w:pStyle w:val="Normal"/>
        <w:ind w:firstLine="540"/>
        <w:jc w:val="both"/>
        <w:rPr/>
      </w:pPr>
      <w:r>
        <w:rPr/>
        <w:t>Рост электрических нагрузок в коммунально-бытовом секторе обусловлен улучшением жилищных условий, строительством, объектов соцкульбыта, а также реконструкцией и модернизацией существующего жилого фонда. Растет нагрузка и в связи с увеличением уровня электрификации быта в сохраняемом жилом фонде.</w:t>
      </w:r>
    </w:p>
    <w:p>
      <w:pPr>
        <w:pStyle w:val="Normal"/>
        <w:ind w:firstLine="540"/>
        <w:jc w:val="both"/>
        <w:rPr/>
      </w:pPr>
      <w:r>
        <w:rPr/>
        <w:t>Электроснабжение реконструируемой и вновь возводимой застройки сохранится по существующим сетям с учетом реконструкции линий и ТП (электрические сети напряжением 6 кВ, 10 кВ на данной стадии не рассматриваются).</w:t>
      </w:r>
    </w:p>
    <w:p>
      <w:pPr>
        <w:pStyle w:val="Normal"/>
        <w:ind w:firstLine="540"/>
        <w:jc w:val="both"/>
        <w:rPr/>
      </w:pPr>
      <w:r>
        <w:rPr/>
        <w:t>Уличное освещение предусматривается воздушным, управление уличным освещением – дистанционное.</w:t>
      </w:r>
    </w:p>
    <w:p>
      <w:pPr>
        <w:pStyle w:val="Normal"/>
        <w:ind w:firstLine="540"/>
        <w:jc w:val="both"/>
        <w:rPr/>
      </w:pPr>
      <w:r>
        <w:rPr/>
        <w:t>Для покрытия электрических нагрузок поселка и повышения качества снабжения</w:t>
      </w:r>
    </w:p>
    <w:p>
      <w:pPr>
        <w:pStyle w:val="Normal"/>
        <w:ind w:firstLine="540"/>
        <w:jc w:val="both"/>
        <w:rPr/>
      </w:pPr>
      <w:r>
        <w:rPr/>
        <w:t>Расчеты годового расхода электроэнергии приведены в табл. 9.</w:t>
      </w:r>
    </w:p>
    <w:p>
      <w:pPr>
        <w:pStyle w:val="Normal"/>
        <w:ind w:firstLine="900"/>
        <w:jc w:val="center"/>
        <w:rPr>
          <w:b/>
          <w:lang w:val="en-US"/>
        </w:rPr>
      </w:pPr>
      <w:r>
        <w:rPr>
          <w:b/>
          <w:lang w:val="en-US"/>
        </w:rPr>
      </w:r>
    </w:p>
    <w:p>
      <w:pPr>
        <w:pStyle w:val="Normal"/>
        <w:rPr/>
      </w:pPr>
      <w:r>
        <w:rPr>
          <w:b/>
        </w:rPr>
        <w:t>Годовой расход электроэнергии</w:t>
      </w:r>
    </w:p>
    <w:p>
      <w:pPr>
        <w:pStyle w:val="Normal"/>
        <w:ind w:firstLine="900"/>
        <w:jc w:val="right"/>
        <w:rPr/>
      </w:pPr>
      <w:r>
        <w:rPr/>
        <w:t>Таблица 9</w:t>
      </w:r>
    </w:p>
    <w:tbl>
      <w:tblPr>
        <w:tblW w:w="991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904"/>
        <w:gridCol w:w="1532"/>
        <w:gridCol w:w="1386"/>
        <w:gridCol w:w="1187"/>
        <w:gridCol w:w="1531"/>
        <w:gridCol w:w="1184"/>
        <w:gridCol w:w="1186"/>
      </w:tblGrid>
      <w:tr>
        <w:trPr/>
        <w:tc>
          <w:tcPr>
            <w:tcW w:w="1904" w:type="dxa"/>
            <w:vMerge w:val="restart"/>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 xml:space="preserve">Потребители </w:t>
            </w:r>
          </w:p>
        </w:tc>
        <w:tc>
          <w:tcPr>
            <w:tcW w:w="4105"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I очередь</w:t>
            </w:r>
          </w:p>
        </w:tc>
        <w:tc>
          <w:tcPr>
            <w:tcW w:w="3901" w:type="dxa"/>
            <w:gridSpan w:val="3"/>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Расчетный срок</w:t>
            </w:r>
          </w:p>
        </w:tc>
      </w:tr>
      <w:tr>
        <w:trPr/>
        <w:tc>
          <w:tcPr>
            <w:tcW w:w="1904" w:type="dxa"/>
            <w:vMerge w:val="continue"/>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Численность населения, чел.</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Уд. норма, кВт.чел/г</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Электро-</w:t>
            </w:r>
          </w:p>
          <w:p>
            <w:pPr>
              <w:pStyle w:val="NoSpacing"/>
              <w:jc w:val="center"/>
              <w:rPr>
                <w:rFonts w:ascii="Times New Roman" w:hAnsi="Times New Roman"/>
                <w:sz w:val="24"/>
                <w:szCs w:val="24"/>
              </w:rPr>
            </w:pPr>
            <w:r>
              <w:rPr>
                <w:rFonts w:ascii="Times New Roman" w:hAnsi="Times New Roman"/>
                <w:sz w:val="24"/>
                <w:szCs w:val="24"/>
              </w:rPr>
              <w:t xml:space="preserve">энергия, </w:t>
            </w:r>
          </w:p>
          <w:p>
            <w:pPr>
              <w:pStyle w:val="NoSpacing"/>
              <w:jc w:val="center"/>
              <w:rPr>
                <w:rFonts w:ascii="Times New Roman" w:hAnsi="Times New Roman"/>
                <w:sz w:val="24"/>
                <w:szCs w:val="24"/>
              </w:rPr>
            </w:pPr>
            <w:r>
              <w:rPr>
                <w:rFonts w:ascii="Times New Roman" w:hAnsi="Times New Roman"/>
                <w:sz w:val="24"/>
                <w:szCs w:val="24"/>
              </w:rPr>
              <w:t xml:space="preserve">кВт.ч/год </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Численность населения, чел.</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Уд. норма, кВт.чел/г</w:t>
            </w:r>
          </w:p>
        </w:tc>
        <w:tc>
          <w:tcPr>
            <w:tcW w:w="11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Электро-</w:t>
            </w:r>
          </w:p>
          <w:p>
            <w:pPr>
              <w:pStyle w:val="NoSpacing"/>
              <w:jc w:val="center"/>
              <w:rPr>
                <w:rFonts w:ascii="Times New Roman" w:hAnsi="Times New Roman"/>
                <w:sz w:val="24"/>
                <w:szCs w:val="24"/>
              </w:rPr>
            </w:pPr>
            <w:r>
              <w:rPr>
                <w:rFonts w:ascii="Times New Roman" w:hAnsi="Times New Roman"/>
                <w:sz w:val="24"/>
                <w:szCs w:val="24"/>
              </w:rPr>
              <w:t xml:space="preserve">энергия, </w:t>
            </w:r>
          </w:p>
          <w:p>
            <w:pPr>
              <w:pStyle w:val="NoSpacing"/>
              <w:jc w:val="center"/>
              <w:rPr>
                <w:rFonts w:ascii="Times New Roman" w:hAnsi="Times New Roman"/>
                <w:sz w:val="24"/>
                <w:szCs w:val="24"/>
              </w:rPr>
            </w:pPr>
            <w:r>
              <w:rPr>
                <w:rFonts w:ascii="Times New Roman" w:hAnsi="Times New Roman"/>
                <w:sz w:val="24"/>
                <w:szCs w:val="24"/>
              </w:rPr>
              <w:t xml:space="preserve">кВт.ч/год </w:t>
            </w:r>
          </w:p>
        </w:tc>
      </w:tr>
      <w:tr>
        <w:trPr/>
        <w:tc>
          <w:tcPr>
            <w:tcW w:w="1904"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sz w:val="24"/>
                <w:szCs w:val="24"/>
              </w:rPr>
            </w:pPr>
            <w:r>
              <w:rPr>
                <w:rFonts w:ascii="Times New Roman" w:hAnsi="Times New Roman"/>
                <w:sz w:val="24"/>
                <w:szCs w:val="24"/>
              </w:rPr>
              <w:t xml:space="preserve">Коммунально-бытовые потребители всего </w:t>
            </w:r>
          </w:p>
          <w:p>
            <w:pPr>
              <w:pStyle w:val="NoSpacing"/>
              <w:rPr>
                <w:rFonts w:ascii="Times New Roman" w:hAnsi="Times New Roman"/>
                <w:sz w:val="24"/>
                <w:szCs w:val="24"/>
              </w:rPr>
            </w:pPr>
            <w:r>
              <w:rPr>
                <w:rFonts w:ascii="Times New Roman" w:hAnsi="Times New Roman"/>
                <w:sz w:val="24"/>
                <w:szCs w:val="24"/>
              </w:rPr>
              <w:t>в т.ч.</w:t>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1709</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c>
          <w:tcPr>
            <w:tcW w:w="11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r>
      <w:tr>
        <w:trPr/>
        <w:tc>
          <w:tcPr>
            <w:tcW w:w="190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х. Первомайский</w:t>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940</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893,0</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970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1026</w:t>
            </w:r>
          </w:p>
        </w:tc>
      </w:tr>
      <w:tr>
        <w:trPr/>
        <w:tc>
          <w:tcPr>
            <w:tcW w:w="190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х. Молаканский</w:t>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690</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655,5</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700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712,5</w:t>
            </w:r>
          </w:p>
        </w:tc>
      </w:tr>
      <w:tr>
        <w:trPr/>
        <w:tc>
          <w:tcPr>
            <w:tcW w:w="190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х. Водин</w:t>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22</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14,3</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22</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r>
      <w:tr>
        <w:trPr/>
        <w:tc>
          <w:tcPr>
            <w:tcW w:w="190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х. Большое Зверево</w:t>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24</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15,6</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24</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r>
      <w:tr>
        <w:trPr/>
        <w:tc>
          <w:tcPr>
            <w:tcW w:w="190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х. Долотинка</w:t>
            </w:r>
          </w:p>
        </w:tc>
        <w:tc>
          <w:tcPr>
            <w:tcW w:w="1532"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333</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7"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216,4</w:t>
            </w:r>
          </w:p>
        </w:tc>
        <w:tc>
          <w:tcPr>
            <w:tcW w:w="1531"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340</w:t>
            </w:r>
          </w:p>
        </w:tc>
        <w:tc>
          <w:tcPr>
            <w:tcW w:w="1184"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t>950</w:t>
            </w:r>
          </w:p>
        </w:tc>
        <w:tc>
          <w:tcPr>
            <w:tcW w:w="1186" w:type="dxa"/>
            <w:tcBorders>
              <w:top w:val="single" w:sz="4" w:space="0" w:color="000000"/>
              <w:left w:val="single" w:sz="4" w:space="0" w:color="000000"/>
              <w:bottom w:val="single" w:sz="4" w:space="0" w:color="000000"/>
              <w:right w:val="single" w:sz="4" w:space="0" w:color="000000"/>
            </w:tcBorders>
            <w:vAlign w:val="center"/>
          </w:tcPr>
          <w:p>
            <w:pPr>
              <w:pStyle w:val="NoSpacing"/>
              <w:jc w:val="center"/>
              <w:rPr>
                <w:rFonts w:ascii="Times New Roman" w:hAnsi="Times New Roman"/>
                <w:sz w:val="24"/>
                <w:szCs w:val="24"/>
              </w:rPr>
            </w:pPr>
            <w:r>
              <w:rPr>
                <w:rFonts w:ascii="Times New Roman" w:hAnsi="Times New Roman"/>
                <w:sz w:val="24"/>
                <w:szCs w:val="24"/>
              </w:rPr>
            </w:r>
          </w:p>
        </w:tc>
      </w:tr>
    </w:tbl>
    <w:p>
      <w:pPr>
        <w:pStyle w:val="Normal"/>
        <w:ind w:firstLine="540"/>
        <w:jc w:val="both"/>
        <w:rPr/>
      </w:pPr>
      <w:r>
        <w:rPr/>
      </w:r>
    </w:p>
    <w:p>
      <w:pPr>
        <w:pStyle w:val="Normal"/>
        <w:ind w:firstLine="540"/>
        <w:jc w:val="both"/>
        <w:rPr/>
      </w:pPr>
      <w:r>
        <w:rPr/>
      </w:r>
    </w:p>
    <w:p>
      <w:pPr>
        <w:pStyle w:val="Normal"/>
        <w:ind w:firstLine="540"/>
        <w:jc w:val="both"/>
        <w:rPr/>
      </w:pPr>
      <w:r>
        <w:rPr/>
      </w:r>
    </w:p>
    <w:p>
      <w:pPr>
        <w:pStyle w:val="Normal"/>
        <w:ind w:firstLine="540"/>
        <w:jc w:val="both"/>
        <w:rPr/>
      </w:pPr>
      <w:r>
        <w:rPr/>
      </w:r>
    </w:p>
    <w:p>
      <w:pPr>
        <w:pStyle w:val="Normal"/>
        <w:ind w:firstLine="540"/>
        <w:jc w:val="both"/>
        <w:rPr/>
      </w:pPr>
      <w:r>
        <w:rPr/>
        <w:t>Уровень электропотребления будет корректироваться в зависимости от возможных инвестиционных проектов.</w:t>
      </w:r>
    </w:p>
    <w:p>
      <w:pPr>
        <w:pStyle w:val="Normal"/>
        <w:ind w:firstLine="540"/>
        <w:jc w:val="both"/>
        <w:rPr/>
      </w:pPr>
      <w:r>
        <w:rPr/>
        <w:t>Для покрытия электрических нагрузок поселения и повышения качества снабжения электроэнергией предлагается следующее:</w:t>
      </w:r>
    </w:p>
    <w:p>
      <w:pPr>
        <w:pStyle w:val="Normal"/>
        <w:ind w:firstLine="540"/>
        <w:jc w:val="both"/>
        <w:rPr/>
      </w:pPr>
      <w:r>
        <w:rPr/>
        <w:t>1. Замена физически устаревших ВЛ- 6 кВ, 10 кВ.</w:t>
      </w:r>
    </w:p>
    <w:p>
      <w:pPr>
        <w:pStyle w:val="Normal"/>
        <w:ind w:firstLine="540"/>
        <w:jc w:val="both"/>
        <w:rPr/>
      </w:pPr>
      <w:r>
        <w:rPr/>
        <w:t>Предусматривается реконструкция сетей наружного освещения в соответствии с Перспективным планом реконструкции объектов электрических сетей наружного освещения в Красносулинском районе на 2014-2029 годы.</w:t>
      </w:r>
    </w:p>
    <w:p>
      <w:pPr>
        <w:pStyle w:val="312"/>
        <w:spacing w:before="0" w:after="0"/>
        <w:ind w:firstLine="297" w:left="425"/>
        <w:jc w:val="both"/>
        <w:rPr>
          <w:color w:val="auto"/>
          <w:sz w:val="24"/>
          <w:szCs w:val="24"/>
          <w:lang w:eastAsia="ru-RU"/>
        </w:rPr>
      </w:pPr>
      <w:r>
        <w:rPr>
          <w:color w:val="auto"/>
          <w:sz w:val="24"/>
          <w:szCs w:val="24"/>
          <w:lang w:eastAsia="ru-RU"/>
        </w:rPr>
      </w:r>
    </w:p>
    <w:p>
      <w:pPr>
        <w:pStyle w:val="Normal"/>
        <w:tabs>
          <w:tab w:val="clear" w:pos="708"/>
          <w:tab w:val="left" w:pos="1080" w:leader="none"/>
        </w:tabs>
        <w:suppressAutoHyphens w:val="true"/>
        <w:ind w:firstLine="720"/>
        <w:jc w:val="center"/>
        <w:rPr>
          <w:b/>
          <w:i/>
          <w:i/>
        </w:rPr>
      </w:pPr>
      <w:r>
        <w:rPr>
          <w:b/>
          <w:i/>
        </w:rPr>
        <w:t>Раздел 7. Формирование сводного плана Программных мероприятий комплексного развития коммунальной инфраструктуры муниципального образования «Долотинское  сельское поселение»</w:t>
      </w:r>
    </w:p>
    <w:p>
      <w:pPr>
        <w:pStyle w:val="Normal"/>
        <w:ind w:firstLine="708"/>
        <w:jc w:val="center"/>
        <w:rPr/>
      </w:pPr>
      <w:r>
        <w:rPr/>
      </w:r>
    </w:p>
    <w:p>
      <w:pPr>
        <w:pStyle w:val="Normal"/>
        <w:ind w:firstLine="708"/>
        <w:jc w:val="both"/>
        <w:rPr/>
      </w:pPr>
      <w:r>
        <w:rPr/>
      </w:r>
    </w:p>
    <w:p>
      <w:pPr>
        <w:pStyle w:val="Normal"/>
        <w:ind w:firstLine="708"/>
        <w:jc w:val="both"/>
        <w:rPr>
          <w:b/>
        </w:rPr>
      </w:pPr>
      <w:bookmarkStart w:id="10" w:name="_Toc226168021"/>
      <w:bookmarkStart w:id="11" w:name="_Toc177477089"/>
      <w:r>
        <w:rPr>
          <w:b/>
        </w:rPr>
        <w:t>Ожидаемые результаты и детальный перечень целевых  индикаторов и показателей для мониторинга реализации Программы</w:t>
      </w:r>
      <w:bookmarkEnd w:id="10"/>
      <w:bookmarkEnd w:id="11"/>
    </w:p>
    <w:p>
      <w:pPr>
        <w:pStyle w:val="Normal"/>
        <w:ind w:firstLine="708"/>
        <w:jc w:val="both"/>
        <w:rPr/>
      </w:pPr>
      <w:r>
        <w:rPr/>
        <w:t xml:space="preserve">Результаты Программы комплексного развития систем коммунальной инфраструктуры муниципального образования "Долотинское сельское поселение"  определяются с помощью целевых индикаторов. Для мониторинга реализации Программы комплексного развития систем коммунальной инфраструктуры муниципального образования «Долотинское сельское поселение»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 </w:t>
      </w:r>
    </w:p>
    <w:p>
      <w:pPr>
        <w:pStyle w:val="Caption1"/>
        <w:spacing w:before="0" w:after="0"/>
        <w:jc w:val="right"/>
        <w:rPr>
          <w:sz w:val="24"/>
          <w:szCs w:val="24"/>
        </w:rPr>
      </w:pPr>
      <w:r>
        <w:rPr>
          <w:sz w:val="24"/>
          <w:szCs w:val="24"/>
        </w:rPr>
      </w:r>
    </w:p>
    <w:p>
      <w:pPr>
        <w:pStyle w:val="Caption1"/>
        <w:spacing w:before="0" w:after="0"/>
        <w:jc w:val="center"/>
        <w:rPr>
          <w:sz w:val="24"/>
          <w:szCs w:val="24"/>
        </w:rPr>
      </w:pPr>
      <w:r>
        <w:rPr>
          <w:sz w:val="24"/>
          <w:szCs w:val="24"/>
        </w:rPr>
        <w:t>Ожидаемые результаты и целевые показатели программы</w:t>
      </w:r>
    </w:p>
    <w:tbl>
      <w:tblPr>
        <w:tblW w:w="1027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75"/>
        <w:gridCol w:w="5294"/>
        <w:gridCol w:w="4209"/>
      </w:tblGrid>
      <w:tr>
        <w:trPr>
          <w:tblHeader w:val="true"/>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 xml:space="preserve">№ </w:t>
            </w:r>
            <w:r>
              <w:rPr>
                <w:b/>
              </w:rPr>
              <w:t>п/п</w:t>
            </w:r>
          </w:p>
        </w:tc>
        <w:tc>
          <w:tcPr>
            <w:tcW w:w="5294"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Ожидаемые результаты</w:t>
            </w:r>
          </w:p>
          <w:p>
            <w:pPr>
              <w:pStyle w:val="Normal"/>
              <w:jc w:val="center"/>
              <w:rPr>
                <w:b/>
              </w:rPr>
            </w:pPr>
            <w:r>
              <w:rPr>
                <w:b/>
              </w:rPr>
              <w:t>программы</w:t>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 xml:space="preserve">Целевые </w:t>
            </w:r>
          </w:p>
          <w:p>
            <w:pPr>
              <w:pStyle w:val="Normal"/>
              <w:jc w:val="center"/>
              <w:rPr>
                <w:b/>
              </w:rPr>
            </w:pPr>
            <w:r>
              <w:rPr>
                <w:b/>
              </w:rPr>
              <w:t>индикаторы</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1</w:t>
            </w:r>
          </w:p>
        </w:tc>
        <w:tc>
          <w:tcPr>
            <w:tcW w:w="9503" w:type="dxa"/>
            <w:gridSpan w:val="2"/>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Теплоэнергетическое хозяйство</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1.1</w:t>
            </w:r>
          </w:p>
        </w:tc>
        <w:tc>
          <w:tcPr>
            <w:tcW w:w="9503" w:type="dxa"/>
            <w:gridSpan w:val="2"/>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Технические показатели</w:t>
            </w:r>
          </w:p>
        </w:tc>
      </w:tr>
      <w:tr>
        <w:trPr/>
        <w:tc>
          <w:tcPr>
            <w:tcW w:w="77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1.1.1</w:t>
            </w:r>
          </w:p>
        </w:tc>
        <w:tc>
          <w:tcPr>
            <w:tcW w:w="5294" w:type="dxa"/>
            <w:vMerge w:val="restart"/>
            <w:tcBorders>
              <w:top w:val="single" w:sz="4" w:space="0" w:color="000000"/>
              <w:left w:val="single" w:sz="4" w:space="0" w:color="000000"/>
              <w:bottom w:val="single" w:sz="4" w:space="0" w:color="000000"/>
              <w:right w:val="single" w:sz="4" w:space="0" w:color="000000"/>
            </w:tcBorders>
          </w:tcPr>
          <w:p>
            <w:pPr>
              <w:pStyle w:val="Normal"/>
              <w:rPr>
                <w:b/>
                <w:color w:val="000000"/>
                <w:spacing w:val="-3"/>
              </w:rPr>
            </w:pPr>
            <w:r>
              <w:rPr>
                <w:b/>
                <w:color w:val="000000"/>
                <w:spacing w:val="-3"/>
              </w:rPr>
              <w:t xml:space="preserve">Надежность обслуживания систем теплоснабжения </w:t>
            </w:r>
          </w:p>
          <w:p>
            <w:pPr>
              <w:pStyle w:val="Normal"/>
              <w:rPr/>
            </w:pPr>
            <w:r>
              <w:rPr>
                <w:color w:val="000000"/>
                <w:spacing w:val="-3"/>
              </w:rPr>
              <w:t>Повышение надежности работы системы теплоснабжения в соответствии с нормативными требованиями</w:t>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 xml:space="preserve">Количество аварий и повреждений на </w:t>
            </w:r>
          </w:p>
          <w:p>
            <w:pPr>
              <w:pStyle w:val="Normal"/>
              <w:widowControl w:val="false"/>
              <w:shd w:val="clear" w:color="auto" w:fill="FFFFFF"/>
              <w:tabs>
                <w:tab w:val="clear" w:pos="708"/>
                <w:tab w:val="left" w:pos="914" w:leader="none"/>
              </w:tabs>
              <w:jc w:val="center"/>
              <w:rPr/>
            </w:pPr>
            <w:r>
              <w:rPr>
                <w:color w:val="000000"/>
                <w:spacing w:val="-7"/>
              </w:rPr>
              <w:t>1 км сети в год</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rPr>
                <w:b/>
                <w:color w:val="000000"/>
                <w:spacing w:val="-3"/>
              </w:rPr>
            </w:pPr>
            <w:r>
              <w:rPr>
                <w:b/>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Износ коммунальных систем</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rPr>
                <w:b/>
                <w:color w:val="000000"/>
                <w:spacing w:val="-3"/>
              </w:rPr>
            </w:pPr>
            <w:r>
              <w:rPr>
                <w:b/>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Протяженность сетей, нуждающихся в замене</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rPr>
                <w:color w:val="000000"/>
                <w:spacing w:val="-3"/>
              </w:rPr>
            </w:pPr>
            <w:r>
              <w:rPr>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Доля ежегодно заменяемых сетей</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rPr>
                <w:color w:val="000000"/>
                <w:spacing w:val="-3"/>
              </w:rPr>
            </w:pPr>
            <w:r>
              <w:rPr>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Уровень потерь и неучтенных расходов тепловой энергии</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pPr>
            <w:r>
              <w:rPr/>
              <w:t>1.1.2</w:t>
            </w:r>
          </w:p>
        </w:tc>
        <w:tc>
          <w:tcPr>
            <w:tcW w:w="529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color w:val="000000"/>
                <w:spacing w:val="-3"/>
              </w:rPr>
            </w:pPr>
            <w:r>
              <w:rPr>
                <w:b/>
                <w:color w:val="000000"/>
                <w:spacing w:val="-3"/>
              </w:rPr>
              <w:t>Сбалансированность систем теплоснабжения</w:t>
            </w:r>
            <w:r>
              <w:rPr>
                <w:color w:val="000000"/>
                <w:spacing w:val="-3"/>
              </w:rPr>
              <w:t xml:space="preserve"> </w:t>
            </w:r>
          </w:p>
          <w:p>
            <w:pPr>
              <w:pStyle w:val="Normal"/>
              <w:widowControl w:val="false"/>
              <w:shd w:val="clear" w:color="auto" w:fill="FFFFFF"/>
              <w:tabs>
                <w:tab w:val="clear" w:pos="708"/>
                <w:tab w:val="left" w:pos="914" w:leader="none"/>
              </w:tabs>
              <w:rPr>
                <w:color w:val="000000"/>
                <w:spacing w:val="-3"/>
              </w:rPr>
            </w:pPr>
            <w:r>
              <w:rPr>
                <w:color w:val="000000"/>
              </w:rPr>
              <w:t>Обеспечение услугами теплоснабжения новых объектов капитального строительства социального или промышленного назначения</w:t>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Уровень использования производственных мощностей</w:t>
            </w:r>
          </w:p>
        </w:tc>
      </w:tr>
      <w:tr>
        <w:trPr/>
        <w:tc>
          <w:tcPr>
            <w:tcW w:w="77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1.1.3</w:t>
            </w:r>
          </w:p>
        </w:tc>
        <w:tc>
          <w:tcPr>
            <w:tcW w:w="52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color w:val="000000"/>
              </w:rPr>
            </w:pPr>
            <w:r>
              <w:rPr>
                <w:b/>
                <w:color w:val="000000"/>
                <w:spacing w:val="-3"/>
              </w:rPr>
              <w:t>Ресурсная эффективность теплоснабжения</w:t>
            </w:r>
            <w:r>
              <w:rPr>
                <w:color w:val="000000"/>
              </w:rPr>
              <w:t xml:space="preserve"> </w:t>
            </w:r>
          </w:p>
          <w:p>
            <w:pPr>
              <w:pStyle w:val="Normal"/>
              <w:widowControl w:val="false"/>
              <w:shd w:val="clear" w:color="auto" w:fill="FFFFFF"/>
              <w:tabs>
                <w:tab w:val="clear" w:pos="708"/>
                <w:tab w:val="left" w:pos="914" w:leader="none"/>
              </w:tabs>
              <w:rPr>
                <w:b/>
                <w:color w:val="000000"/>
                <w:spacing w:val="-3"/>
              </w:rPr>
            </w:pPr>
            <w:r>
              <w:rPr>
                <w:color w:val="000000"/>
              </w:rPr>
              <w:t>Повышение эффективности работы системы теплоснабжения</w:t>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Удельный расход электроэнергии</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b/>
                <w:color w:val="000000"/>
                <w:spacing w:val="-3"/>
              </w:rPr>
            </w:pPr>
            <w:r>
              <w:rPr>
                <w:b/>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Удельный расход топлива</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1.2</w:t>
            </w:r>
          </w:p>
        </w:tc>
        <w:tc>
          <w:tcPr>
            <w:tcW w:w="9503"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b/>
                <w:color w:val="000000"/>
                <w:spacing w:val="-3"/>
              </w:rPr>
              <w:t>Финансово-экономические показатели</w:t>
            </w:r>
          </w:p>
        </w:tc>
      </w:tr>
      <w:tr>
        <w:trPr/>
        <w:tc>
          <w:tcPr>
            <w:tcW w:w="77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1.2.1</w:t>
            </w:r>
          </w:p>
        </w:tc>
        <w:tc>
          <w:tcPr>
            <w:tcW w:w="52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color w:val="000000"/>
              </w:rPr>
            </w:pPr>
            <w:r>
              <w:rPr>
                <w:b/>
                <w:color w:val="000000"/>
                <w:spacing w:val="-3"/>
              </w:rPr>
              <w:t>Ресурсная эффективность теплоснабжения</w:t>
            </w:r>
            <w:r>
              <w:rPr>
                <w:color w:val="000000"/>
              </w:rPr>
              <w:t xml:space="preserve"> </w:t>
            </w:r>
          </w:p>
          <w:p>
            <w:pPr>
              <w:pStyle w:val="Normal"/>
              <w:widowControl w:val="false"/>
              <w:shd w:val="clear" w:color="auto" w:fill="FFFFFF"/>
              <w:tabs>
                <w:tab w:val="clear" w:pos="708"/>
                <w:tab w:val="left" w:pos="914" w:leader="none"/>
              </w:tabs>
              <w:rPr>
                <w:b/>
                <w:color w:val="000000"/>
                <w:spacing w:val="-3"/>
              </w:rPr>
            </w:pPr>
            <w:r>
              <w:rPr>
                <w:color w:val="000000"/>
              </w:rPr>
              <w:t>Повышение эффективности работы системы теплоснабжения</w:t>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Численность работающих на 1000 обслуживаемых жителей</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b/>
                <w:color w:val="000000"/>
                <w:spacing w:val="-3"/>
              </w:rPr>
            </w:pPr>
            <w:r>
              <w:rPr>
                <w:b/>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Фондообеспеченность системы теплоснабжения</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t>2.2.2</w:t>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b/>
                <w:color w:val="000000"/>
                <w:spacing w:val="-3"/>
              </w:rPr>
            </w:pPr>
            <w:r>
              <w:rPr>
                <w:b/>
                <w:color w:val="000000"/>
                <w:spacing w:val="-3"/>
              </w:rPr>
              <w:t>Доступность для потребителей</w:t>
            </w:r>
          </w:p>
          <w:p>
            <w:pPr>
              <w:pStyle w:val="Normal"/>
              <w:widowControl w:val="false"/>
              <w:shd w:val="clear" w:color="auto" w:fill="FFFFFF"/>
              <w:tabs>
                <w:tab w:val="clear" w:pos="708"/>
                <w:tab w:val="left" w:pos="914" w:leader="none"/>
              </w:tabs>
              <w:rPr>
                <w:color w:val="000000"/>
                <w:spacing w:val="-3"/>
              </w:rPr>
            </w:pPr>
            <w:r>
              <w:rPr>
                <w:color w:val="000000"/>
                <w:spacing w:val="-3"/>
              </w:rPr>
              <w:t>Повышение качества предоставления коммунальных услуг в части водоснабжения и водоотведения населению</w:t>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Охват услугами</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3</w:t>
            </w:r>
          </w:p>
        </w:tc>
        <w:tc>
          <w:tcPr>
            <w:tcW w:w="9503" w:type="dxa"/>
            <w:gridSpan w:val="2"/>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Электроснабжение</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3.1</w:t>
            </w:r>
          </w:p>
        </w:tc>
        <w:tc>
          <w:tcPr>
            <w:tcW w:w="9503"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b/>
              </w:rPr>
              <w:t>Технические показатели</w:t>
            </w:r>
          </w:p>
        </w:tc>
      </w:tr>
      <w:tr>
        <w:trPr>
          <w:trHeight w:val="539" w:hRule="atLeast"/>
        </w:trPr>
        <w:tc>
          <w:tcPr>
            <w:tcW w:w="77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3.1.1</w:t>
            </w:r>
          </w:p>
        </w:tc>
        <w:tc>
          <w:tcPr>
            <w:tcW w:w="5294" w:type="dxa"/>
            <w:vMerge w:val="restart"/>
            <w:tcBorders>
              <w:top w:val="single" w:sz="4" w:space="0" w:color="000000"/>
              <w:left w:val="single" w:sz="4" w:space="0" w:color="000000"/>
              <w:bottom w:val="single" w:sz="4" w:space="0" w:color="000000"/>
              <w:right w:val="single" w:sz="4" w:space="0" w:color="000000"/>
            </w:tcBorders>
          </w:tcPr>
          <w:p>
            <w:pPr>
              <w:pStyle w:val="Normal"/>
              <w:rPr>
                <w:b/>
                <w:color w:val="000000"/>
                <w:spacing w:val="-3"/>
              </w:rPr>
            </w:pPr>
            <w:r>
              <w:rPr>
                <w:b/>
                <w:color w:val="000000"/>
                <w:spacing w:val="-3"/>
              </w:rPr>
              <w:t>Надежность обслуживания систем электроснабжения</w:t>
            </w:r>
          </w:p>
          <w:p>
            <w:pPr>
              <w:pStyle w:val="Normal"/>
              <w:rPr/>
            </w:pPr>
            <w:r>
              <w:rPr>
                <w:color w:val="000000"/>
                <w:spacing w:val="-3"/>
              </w:rPr>
              <w:t>Повышение надежности работы системы электроснабжения в соответствии с нормативными требованиями</w:t>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 xml:space="preserve">Количество аварий и повреждений на </w:t>
            </w:r>
          </w:p>
          <w:p>
            <w:pPr>
              <w:pStyle w:val="Normal"/>
              <w:widowControl w:val="false"/>
              <w:shd w:val="clear" w:color="auto" w:fill="FFFFFF"/>
              <w:tabs>
                <w:tab w:val="clear" w:pos="708"/>
                <w:tab w:val="left" w:pos="914" w:leader="none"/>
              </w:tabs>
              <w:jc w:val="center"/>
              <w:rPr/>
            </w:pPr>
            <w:r>
              <w:rPr>
                <w:color w:val="000000"/>
                <w:spacing w:val="-7"/>
              </w:rPr>
              <w:t>1 км сети в год</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rPr>
                <w:b/>
                <w:color w:val="000000"/>
                <w:spacing w:val="-3"/>
              </w:rPr>
            </w:pPr>
            <w:r>
              <w:rPr>
                <w:b/>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Износ коммунальных систем</w:t>
            </w:r>
          </w:p>
        </w:tc>
      </w:tr>
      <w:tr>
        <w:trPr>
          <w:trHeight w:val="525" w:hRule="atLeast"/>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rPr>
                <w:b/>
                <w:color w:val="000000"/>
                <w:spacing w:val="-3"/>
              </w:rPr>
            </w:pPr>
            <w:r>
              <w:rPr>
                <w:b/>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Протяженность сетей, нуждающихся в замене</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rPr>
                <w:b/>
                <w:color w:val="000000"/>
                <w:spacing w:val="-3"/>
              </w:rPr>
            </w:pPr>
            <w:r>
              <w:rPr>
                <w:b/>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Доля ежегодно заменяемых сетей</w:t>
            </w:r>
          </w:p>
        </w:tc>
      </w:tr>
      <w:tr>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rPr>
                <w:b/>
                <w:color w:val="000000"/>
                <w:spacing w:val="-3"/>
              </w:rPr>
            </w:pPr>
            <w:r>
              <w:rPr>
                <w:b/>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jc w:val="center"/>
              <w:rPr>
                <w:color w:val="000000"/>
                <w:spacing w:val="-7"/>
              </w:rPr>
            </w:pPr>
            <w:r>
              <w:rPr>
                <w:color w:val="000000"/>
                <w:spacing w:val="-7"/>
              </w:rPr>
              <w:t>Уровень потерь электрической энергии</w:t>
            </w:r>
          </w:p>
        </w:tc>
      </w:tr>
      <w:tr>
        <w:trPr/>
        <w:tc>
          <w:tcPr>
            <w:tcW w:w="77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3.1.2</w:t>
            </w:r>
          </w:p>
        </w:tc>
        <w:tc>
          <w:tcPr>
            <w:tcW w:w="52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color w:val="000000"/>
                <w:spacing w:val="-3"/>
              </w:rPr>
            </w:pPr>
            <w:r>
              <w:rPr>
                <w:b/>
                <w:color w:val="000000"/>
                <w:spacing w:val="-3"/>
              </w:rPr>
              <w:t>Сбалансированность систем электроснабжения</w:t>
            </w:r>
          </w:p>
          <w:p>
            <w:pPr>
              <w:pStyle w:val="Normal"/>
              <w:widowControl w:val="false"/>
              <w:shd w:val="clear" w:color="auto" w:fill="FFFFFF"/>
              <w:tabs>
                <w:tab w:val="clear" w:pos="708"/>
                <w:tab w:val="left" w:pos="914" w:leader="none"/>
              </w:tabs>
              <w:rPr>
                <w:color w:val="000000"/>
              </w:rPr>
            </w:pPr>
            <w:r>
              <w:rPr>
                <w:color w:val="000000"/>
              </w:rPr>
              <w:t>Обеспечение услугами электроснабжения новых объектов капитального строительства социального или промышленного назначения</w:t>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Уровень использования производственных мощностей</w:t>
            </w:r>
          </w:p>
        </w:tc>
      </w:tr>
      <w:tr>
        <w:trPr>
          <w:trHeight w:val="1275" w:hRule="atLeast"/>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pPr>
            <w:r>
              <w:rPr/>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Обеспеченность потребителей приборами учета</w:t>
            </w:r>
          </w:p>
        </w:tc>
      </w:tr>
      <w:tr>
        <w:trPr>
          <w:trHeight w:val="1835" w:hRule="atLeast"/>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pPr>
            <w:r>
              <w:rPr/>
              <w:t>3.1.3</w:t>
            </w:r>
          </w:p>
        </w:tc>
        <w:tc>
          <w:tcPr>
            <w:tcW w:w="529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color w:val="000000"/>
              </w:rPr>
            </w:pPr>
            <w:r>
              <w:rPr>
                <w:b/>
                <w:color w:val="000000"/>
                <w:spacing w:val="-3"/>
              </w:rPr>
              <w:t>Ресурсная эффективность электроснабжения</w:t>
            </w:r>
          </w:p>
          <w:p>
            <w:pPr>
              <w:pStyle w:val="Normal"/>
              <w:widowControl w:val="false"/>
              <w:shd w:val="clear" w:color="auto" w:fill="FFFFFF"/>
              <w:tabs>
                <w:tab w:val="clear" w:pos="708"/>
                <w:tab w:val="left" w:pos="569" w:leader="none"/>
                <w:tab w:val="left" w:pos="1100" w:leader="none"/>
              </w:tabs>
              <w:rPr>
                <w:color w:val="000000"/>
              </w:rPr>
            </w:pPr>
            <w:r>
              <w:rPr>
                <w:color w:val="000000"/>
              </w:rPr>
              <w:t>Повышение эффективности работы систем электроснабжения</w:t>
            </w:r>
          </w:p>
          <w:p>
            <w:pPr>
              <w:pStyle w:val="Normal"/>
              <w:widowControl w:val="false"/>
              <w:shd w:val="clear" w:color="auto" w:fill="FFFFFF"/>
              <w:tabs>
                <w:tab w:val="clear" w:pos="708"/>
                <w:tab w:val="left" w:pos="569" w:leader="none"/>
                <w:tab w:val="left" w:pos="1100" w:leader="none"/>
              </w:tabs>
              <w:rPr>
                <w:color w:val="000000"/>
              </w:rPr>
            </w:pPr>
            <w:r>
              <w:rPr>
                <w:color w:val="000000"/>
              </w:rPr>
              <w:t>Обеспечение услугами электроснабжения  новых объектов капитального строительства социального или промышленного назначения</w:t>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Удельные нормативы потребления</w:t>
            </w:r>
          </w:p>
        </w:tc>
      </w:tr>
      <w:tr>
        <w:trPr>
          <w:trHeight w:val="378" w:hRule="atLeast"/>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b/>
              </w:rPr>
            </w:pPr>
            <w:r>
              <w:rPr>
                <w:b/>
              </w:rPr>
              <w:t>3.2</w:t>
            </w:r>
          </w:p>
        </w:tc>
        <w:tc>
          <w:tcPr>
            <w:tcW w:w="9503" w:type="dxa"/>
            <w:gridSpan w:val="2"/>
            <w:tcBorders>
              <w:top w:val="single" w:sz="4" w:space="0" w:color="000000"/>
              <w:left w:val="single" w:sz="4" w:space="0" w:color="000000"/>
              <w:bottom w:val="single" w:sz="4" w:space="0" w:color="000000"/>
              <w:right w:val="single" w:sz="4" w:space="0" w:color="000000"/>
            </w:tcBorders>
          </w:tcPr>
          <w:p>
            <w:pPr>
              <w:pStyle w:val="Normal"/>
              <w:jc w:val="center"/>
              <w:rPr/>
            </w:pPr>
            <w:r>
              <w:rPr>
                <w:b/>
                <w:color w:val="000000"/>
                <w:spacing w:val="-3"/>
              </w:rPr>
              <w:t>Финансово-экономические показатели</w:t>
            </w:r>
          </w:p>
        </w:tc>
      </w:tr>
      <w:tr>
        <w:trPr>
          <w:trHeight w:val="563" w:hRule="atLeast"/>
        </w:trPr>
        <w:tc>
          <w:tcPr>
            <w:tcW w:w="77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pPr>
            <w:r>
              <w:rPr/>
              <w:t>3.2.1</w:t>
            </w:r>
          </w:p>
        </w:tc>
        <w:tc>
          <w:tcPr>
            <w:tcW w:w="52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color w:val="000000"/>
              </w:rPr>
            </w:pPr>
            <w:r>
              <w:rPr>
                <w:b/>
                <w:color w:val="000000"/>
                <w:spacing w:val="-3"/>
              </w:rPr>
              <w:t>Ресурсная эффективность электроснабжения</w:t>
            </w:r>
          </w:p>
          <w:p>
            <w:pPr>
              <w:pStyle w:val="Normal"/>
              <w:widowControl w:val="false"/>
              <w:shd w:val="clear" w:color="auto" w:fill="FFFFFF"/>
              <w:tabs>
                <w:tab w:val="clear" w:pos="708"/>
                <w:tab w:val="left" w:pos="569" w:leader="none"/>
                <w:tab w:val="left" w:pos="1100" w:leader="none"/>
              </w:tabs>
              <w:rPr>
                <w:color w:val="000000"/>
              </w:rPr>
            </w:pPr>
            <w:r>
              <w:rPr>
                <w:color w:val="000000"/>
              </w:rPr>
              <w:t>Повышение эффективности работы систем электроснабжения</w:t>
            </w:r>
          </w:p>
          <w:p>
            <w:pPr>
              <w:pStyle w:val="Normal"/>
              <w:widowControl w:val="false"/>
              <w:shd w:val="clear" w:color="auto" w:fill="FFFFFF"/>
              <w:tabs>
                <w:tab w:val="clear" w:pos="708"/>
                <w:tab w:val="left" w:pos="569" w:leader="none"/>
                <w:tab w:val="left" w:pos="1100" w:leader="none"/>
              </w:tabs>
              <w:rPr>
                <w:color w:val="000000"/>
              </w:rPr>
            </w:pPr>
            <w:r>
              <w:rPr>
                <w:color w:val="000000"/>
              </w:rPr>
              <w:t>Обеспечение услугами электроснабжения  новых объектов капитального строительства социального или промышленного назначения</w:t>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Численность работающих на 1000 обслуживаемых жителей</w:t>
            </w:r>
          </w:p>
        </w:tc>
      </w:tr>
      <w:tr>
        <w:trPr>
          <w:trHeight w:val="657" w:hRule="atLeast"/>
        </w:trPr>
        <w:tc>
          <w:tcPr>
            <w:tcW w:w="77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52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b/>
                <w:color w:val="000000"/>
                <w:spacing w:val="-3"/>
              </w:rPr>
            </w:pPr>
            <w:r>
              <w:rPr>
                <w:b/>
                <w:color w:val="000000"/>
                <w:spacing w:val="-3"/>
              </w:rPr>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Фондообеспеченность системы электроснабжения</w:t>
            </w:r>
          </w:p>
        </w:tc>
      </w:tr>
      <w:tr>
        <w:trPr/>
        <w:tc>
          <w:tcPr>
            <w:tcW w:w="775" w:type="dxa"/>
            <w:tcBorders>
              <w:top w:val="single" w:sz="4" w:space="0" w:color="000000"/>
              <w:left w:val="single" w:sz="4" w:space="0" w:color="000000"/>
              <w:bottom w:val="single" w:sz="4" w:space="0" w:color="000000"/>
              <w:right w:val="single" w:sz="4" w:space="0" w:color="000000"/>
            </w:tcBorders>
          </w:tcPr>
          <w:p>
            <w:pPr>
              <w:pStyle w:val="Normal"/>
              <w:jc w:val="center"/>
              <w:rPr/>
            </w:pPr>
            <w:r>
              <w:rPr/>
              <w:t>3.2.2</w:t>
            </w:r>
          </w:p>
        </w:tc>
        <w:tc>
          <w:tcPr>
            <w:tcW w:w="529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14" w:leader="none"/>
              </w:tabs>
              <w:rPr>
                <w:b/>
                <w:color w:val="000000"/>
                <w:spacing w:val="-3"/>
              </w:rPr>
            </w:pPr>
            <w:r>
              <w:rPr>
                <w:b/>
                <w:color w:val="000000"/>
                <w:spacing w:val="-3"/>
              </w:rPr>
              <w:t>Доступность для потребителей</w:t>
            </w:r>
          </w:p>
          <w:p>
            <w:pPr>
              <w:pStyle w:val="Normal"/>
              <w:widowControl w:val="false"/>
              <w:shd w:val="clear" w:color="auto" w:fill="FFFFFF"/>
              <w:tabs>
                <w:tab w:val="clear" w:pos="708"/>
                <w:tab w:val="left" w:pos="914" w:leader="none"/>
              </w:tabs>
              <w:rPr>
                <w:color w:val="000000"/>
                <w:spacing w:val="-3"/>
              </w:rPr>
            </w:pPr>
            <w:r>
              <w:rPr>
                <w:color w:val="000000"/>
                <w:spacing w:val="-3"/>
              </w:rPr>
              <w:t>Повышение качества предоставления коммунальных услуг в части электроснабжения населению</w:t>
            </w:r>
          </w:p>
        </w:tc>
        <w:tc>
          <w:tcPr>
            <w:tcW w:w="4209" w:type="dxa"/>
            <w:tcBorders>
              <w:top w:val="single" w:sz="4" w:space="0" w:color="000000"/>
              <w:left w:val="single" w:sz="4" w:space="0" w:color="000000"/>
              <w:bottom w:val="single" w:sz="4" w:space="0" w:color="000000"/>
              <w:right w:val="single" w:sz="4" w:space="0" w:color="000000"/>
            </w:tcBorders>
          </w:tcPr>
          <w:p>
            <w:pPr>
              <w:pStyle w:val="Normal"/>
              <w:jc w:val="center"/>
              <w:rPr/>
            </w:pPr>
            <w:r>
              <w:rPr/>
              <w:t>Охват услугами</w:t>
            </w:r>
          </w:p>
        </w:tc>
      </w:tr>
    </w:tbl>
    <w:p>
      <w:pPr>
        <w:pStyle w:val="Normal"/>
        <w:ind w:firstLine="709"/>
        <w:jc w:val="both"/>
        <w:rPr/>
      </w:pPr>
      <w:r>
        <w:rPr/>
        <w:t xml:space="preserve">Техническое состояние объектов коммунальной инфраструктуры, в первую очередь – надежность их работы. Контроль и анализ этого параметра позволяет определить качество обслуживания, оценить достаточность усилий по реабилитации основных фондов на фоне более чем 10-кратного роста аварийности за последние 10 лет. </w:t>
      </w:r>
    </w:p>
    <w:p>
      <w:pPr>
        <w:pStyle w:val="Normal"/>
        <w:ind w:firstLine="709"/>
        <w:jc w:val="both"/>
        <w:rPr/>
      </w:pPr>
      <w:r>
        <w:rPr/>
        <w:t xml:space="preserve">С учетом этой оценки определяется необходимый и достаточный уровень модернизации основных фондов, замены изношенных сетей и оборудования.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 </w:t>
      </w:r>
    </w:p>
    <w:p>
      <w:pPr>
        <w:pStyle w:val="Normal"/>
        <w:ind w:firstLine="709"/>
        <w:jc w:val="both"/>
        <w:rPr/>
      </w:pPr>
      <w:r>
        <w:rPr/>
        <w:t>Финансово-экономическое состояние организаций коммунального комплекса, уровень финансового обеспечения коммунального хозяйства, инвестиционный потенциал организаций коммунального комплекса.</w:t>
      </w:r>
    </w:p>
    <w:p>
      <w:pPr>
        <w:pStyle w:val="Normal"/>
        <w:ind w:firstLine="709"/>
        <w:jc w:val="both"/>
        <w:rPr/>
      </w:pPr>
      <w:r>
        <w:rPr/>
        <w:t>Организационно-правовые характеристики деятельности коммунального комплекса, позволяющие оценить сложившуюся систему управления, уровень институциональных преобразований, развитие договорных отношений.</w:t>
      </w:r>
    </w:p>
    <w:p>
      <w:pPr>
        <w:pStyle w:val="Normal"/>
        <w:ind w:firstLine="709"/>
        <w:jc w:val="both"/>
        <w:rPr/>
      </w:pPr>
      <w:r>
        <w:rPr/>
        <w:t>Целевые индикаторы анализируются по каждому виду коммунальных услуг и периодически пересматриваются и актуализируются.</w:t>
      </w:r>
    </w:p>
    <w:p>
      <w:pPr>
        <w:pStyle w:val="Normal"/>
        <w:ind w:firstLine="709"/>
        <w:jc w:val="both"/>
        <w:rPr/>
      </w:pPr>
      <w:r>
        <w:rPr/>
        <w:t>Значения целевых индикаторов разработаны на базе обобщения, анализа и корректировки фактических данных по предприятиям коммунального комплекса муниципального образования " Долотинское сельское поселение"   разделены на 3 группы:</w:t>
      </w:r>
    </w:p>
    <w:p>
      <w:pPr>
        <w:pStyle w:val="Normal"/>
        <w:ind w:firstLine="709"/>
        <w:jc w:val="both"/>
        <w:rPr>
          <w:b/>
        </w:rPr>
      </w:pPr>
      <w:r>
        <w:rPr>
          <w:b/>
        </w:rPr>
        <w:t>1.  Технические индикаторы</w:t>
      </w:r>
    </w:p>
    <w:p>
      <w:pPr>
        <w:pStyle w:val="Normal"/>
        <w:ind w:firstLine="709"/>
        <w:jc w:val="both"/>
        <w:rPr/>
      </w:pPr>
      <w:r>
        <w:rPr/>
        <w:t xml:space="preserve">          </w:t>
      </w:r>
      <w:r>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 Долотинское сельское поселение"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pPr>
        <w:pStyle w:val="Normal"/>
        <w:ind w:firstLine="709"/>
        <w:jc w:val="both"/>
        <w:rPr/>
      </w:pPr>
      <w:r>
        <w:rPr/>
        <w:t xml:space="preserve">Надежность работы объектов коммунальной инфраструктуры целесообразно оценивать обратной величиной: - интенсивностью отказов (количеством аварий и повреждений на единицу масштаба объекта, например, на 1 км инженерных сетей, на 1 млн руб. стоимости основных фондов); износом коммунальных сетей, протяженностью сетей, нуждающихся в замене; долей ежегодно заменяемых сетей; уровнем потерь и неучтенных расходов. </w:t>
      </w:r>
    </w:p>
    <w:p>
      <w:pPr>
        <w:pStyle w:val="Normal"/>
        <w:ind w:firstLine="709"/>
        <w:jc w:val="both"/>
        <w:rPr/>
      </w:pPr>
      <w:r>
        <w:rPr/>
        <w:t>Сбалансированность системы характеризует, эффективность использования коммунальных систем,  определяется с помощью следующих показателей: уровень использования производственных мощностей; наличие дефицита мощности; обеспеченность приборами учета.</w:t>
      </w:r>
    </w:p>
    <w:p>
      <w:pPr>
        <w:pStyle w:val="Normal"/>
        <w:ind w:firstLine="709"/>
        <w:jc w:val="both"/>
        <w:rPr/>
      </w:pPr>
      <w:r>
        <w:rPr/>
        <w:t>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pPr>
        <w:pStyle w:val="Normal"/>
        <w:ind w:firstLine="709"/>
        <w:jc w:val="both"/>
        <w:rPr/>
      </w:pPr>
      <w:r>
        <w:rPr/>
        <w:t>Качество оказываемых услуг организациями коммунального комплекса характеризует соответствие качества оказываемых услуг установленным ГОСТам, эпидемиологическим нормам и правилам.</w:t>
      </w:r>
    </w:p>
    <w:p>
      <w:pPr>
        <w:pStyle w:val="Normal"/>
        <w:ind w:firstLine="709"/>
        <w:jc w:val="both"/>
        <w:rPr/>
      </w:pPr>
      <w:r>
        <w:rPr/>
        <w:t>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pPr>
        <w:pStyle w:val="Normal"/>
        <w:ind w:firstLine="709"/>
        <w:jc w:val="both"/>
        <w:rPr>
          <w:b/>
        </w:rPr>
      </w:pPr>
      <w:r>
        <w:rPr>
          <w:b/>
        </w:rPr>
        <w:t>2. Финансово-экономические индикаторы</w:t>
      </w:r>
    </w:p>
    <w:p>
      <w:pPr>
        <w:pStyle w:val="Normal"/>
        <w:ind w:firstLine="709"/>
        <w:jc w:val="both"/>
        <w:rPr/>
      </w:pPr>
      <w:r>
        <w:rPr/>
        <w:t>Численность работающих на предприятии коммунального комплекса  в расчете на 1000 обслуживаемых жителей - применяются для обобщенной оценки эффективности использования живого труда. Указанный норматив-индикатор используется вместо применявшихся до настоящего времени среднестатистических нормативов численности, которые отражают традиционные экстраполяционные подходы,  нормирование «от частного к общему», способствуют сохранению и тиражированию низкой эффективности организации производства и управления. Рассчитанная на их базе численность работающих, как правило, на 60% и больше превышает фактическую численность, что ведет к завышению затрат на оплату труда. Применение указанного целевого индикатора позволяет оценить и спланировать реальную численность работающих. Для гарантированного сохранения квалифицированных кадров и преодоления оттока рабочей силы из предприятий жизнеобеспечения рекомендуется контролировать и планировать среднюю заработную плату на уровне или на 10-15% выше средней по  муниципальному образованию.</w:t>
      </w:r>
    </w:p>
    <w:p>
      <w:pPr>
        <w:pStyle w:val="Normal"/>
        <w:ind w:firstLine="709"/>
        <w:jc w:val="both"/>
        <w:rPr/>
      </w:pPr>
      <w:r>
        <w:rPr/>
        <w:t xml:space="preserve">Стоимость основных фондов в расчете на 1000 обслуживаемых жителей, или на единицу материального носителя услуги (1000 Гкал тепла, 1000 м3 воды и т.п.)  - используется для анализа объективности  оценки основных фондов, что важно для правильного начисления амортизации – элемента инвестиционного потенциала организаций коммунального комплекса. </w:t>
      </w:r>
    </w:p>
    <w:p>
      <w:pPr>
        <w:pStyle w:val="Normal"/>
        <w:ind w:firstLine="709"/>
        <w:jc w:val="both"/>
        <w:rPr/>
      </w:pPr>
      <w:r>
        <w:rPr/>
        <w:t>Необходимость использования этого индикатора обусловлена тем, что на большинстве предприятий коммунального комплекса переоценка основных фондов выполнена без достаточных обоснований и анализа последствий. Это приводит в одних случаях к неоправданному  росту их стоимости, завышению затрат по статьям «Амортизация» и «Ремонтный фонд». В итоге необоснованный рост тарифов, потребности в бюджетных средствах, а также рост налогов на имущество. С другой стороны, заниженная стоимость основных фондов снижает инвестиционный потенциал предприятия, определяет недостаток средств на воспроизводство и замену изношенных фондов.</w:t>
      </w:r>
    </w:p>
    <w:p>
      <w:pPr>
        <w:pStyle w:val="Normal"/>
        <w:ind w:firstLine="709"/>
        <w:jc w:val="both"/>
        <w:rPr/>
      </w:pPr>
      <w:r>
        <w:rPr/>
        <w:t>С использованием данного целевого индикатора при уточненной оценке фактической стоимости можно оценить достаточность развития производственных мощностей.</w:t>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pStyle w:val="Normal"/>
        <w:ind w:firstLine="708"/>
        <w:jc w:val="both"/>
        <w:rPr/>
      </w:pPr>
      <w:r>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851" w:gutter="0" w:header="709" w:top="851" w:footer="709" w:bottom="851"/>
          <w:pgNumType w:fmt="decimal"/>
          <w:formProt w:val="false"/>
          <w:textDirection w:val="lrTb"/>
          <w:docGrid w:type="default" w:linePitch="360" w:charSpace="0"/>
        </w:sectPr>
        <w:pStyle w:val="Normal"/>
        <w:ind w:firstLine="708"/>
        <w:jc w:val="both"/>
        <w:rPr/>
      </w:pPr>
      <w:r>
        <w:rPr/>
      </w:r>
    </w:p>
    <w:p>
      <w:pPr>
        <w:pStyle w:val="Normal"/>
        <w:jc w:val="right"/>
        <w:rPr>
          <w:b/>
          <w:sz w:val="26"/>
          <w:szCs w:val="26"/>
        </w:rPr>
      </w:pPr>
      <w:r>
        <w:rPr>
          <w:b/>
          <w:sz w:val="26"/>
          <w:szCs w:val="26"/>
        </w:rPr>
        <w:t>Приложение № 1</w:t>
      </w:r>
    </w:p>
    <w:p>
      <w:pPr>
        <w:pStyle w:val="Normal"/>
        <w:jc w:val="center"/>
        <w:rPr>
          <w:b/>
          <w:sz w:val="26"/>
          <w:szCs w:val="26"/>
        </w:rPr>
      </w:pPr>
      <w:r>
        <w:rPr>
          <w:b/>
          <w:sz w:val="26"/>
          <w:szCs w:val="26"/>
        </w:rPr>
        <w:t>ПРОГРАММА</w:t>
      </w:r>
    </w:p>
    <w:p>
      <w:pPr>
        <w:pStyle w:val="Normal"/>
        <w:jc w:val="center"/>
        <w:rPr/>
      </w:pPr>
      <w:r>
        <w:rPr/>
        <w:t>электрических  сетей  Долотинского сельского поселения  на 2014-2029 годы</w:t>
      </w:r>
    </w:p>
    <w:tbl>
      <w:tblPr>
        <w:tblW w:w="12879"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00"/>
        <w:gridCol w:w="1714"/>
        <w:gridCol w:w="1608"/>
        <w:gridCol w:w="1254"/>
        <w:gridCol w:w="1081"/>
        <w:gridCol w:w="901"/>
        <w:gridCol w:w="815"/>
        <w:gridCol w:w="816"/>
        <w:gridCol w:w="817"/>
        <w:gridCol w:w="815"/>
        <w:gridCol w:w="817"/>
        <w:gridCol w:w="1640"/>
      </w:tblGrid>
      <w:tr>
        <w:trPr>
          <w:trHeight w:val="240" w:hRule="atLeast"/>
        </w:trPr>
        <w:tc>
          <w:tcPr>
            <w:tcW w:w="600" w:type="dxa"/>
            <w:vMerge w:val="restart"/>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 xml:space="preserve">№ </w:t>
            </w:r>
            <w:r>
              <w:rPr>
                <w:sz w:val="20"/>
              </w:rPr>
              <w:t>п/п</w:t>
            </w:r>
          </w:p>
        </w:tc>
        <w:tc>
          <w:tcPr>
            <w:tcW w:w="1714" w:type="dxa"/>
            <w:vMerge w:val="restart"/>
            <w:tcBorders>
              <w:top w:val="single" w:sz="4" w:space="0" w:color="000000"/>
              <w:left w:val="single" w:sz="4" w:space="0" w:color="000000"/>
              <w:bottom w:val="single" w:sz="4" w:space="0" w:color="000000"/>
              <w:right w:val="single" w:sz="4" w:space="0" w:color="000000"/>
            </w:tcBorders>
          </w:tcPr>
          <w:p>
            <w:pPr>
              <w:pStyle w:val="Normal"/>
              <w:rPr>
                <w:sz w:val="20"/>
              </w:rPr>
            </w:pPr>
            <w:r>
              <w:rPr/>
              <w:t xml:space="preserve">Наименование  </w:t>
            </w:r>
            <w:r>
              <w:rPr>
                <w:sz w:val="20"/>
              </w:rPr>
              <w:t>мероприятия</w:t>
            </w:r>
          </w:p>
        </w:tc>
        <w:tc>
          <w:tcPr>
            <w:tcW w:w="1608" w:type="dxa"/>
            <w:vMerge w:val="restart"/>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Протяженность</w:t>
            </w:r>
          </w:p>
          <w:p>
            <w:pPr>
              <w:pStyle w:val="Normal"/>
              <w:rPr>
                <w:sz w:val="20"/>
              </w:rPr>
            </w:pPr>
            <w:r>
              <w:rPr>
                <w:sz w:val="20"/>
              </w:rPr>
              <w:t xml:space="preserve"> </w:t>
            </w:r>
            <w:r>
              <w:rPr>
                <w:sz w:val="20"/>
              </w:rPr>
              <w:t>( км)</w:t>
            </w:r>
          </w:p>
        </w:tc>
        <w:tc>
          <w:tcPr>
            <w:tcW w:w="7316" w:type="dxa"/>
            <w:gridSpan w:val="8"/>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Объем финансирования тыс. руб.</w:t>
            </w:r>
          </w:p>
        </w:tc>
        <w:tc>
          <w:tcPr>
            <w:tcW w:w="1640" w:type="dxa"/>
            <w:vMerge w:val="restart"/>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Источник финансирования</w:t>
            </w:r>
          </w:p>
        </w:tc>
      </w:tr>
      <w:tr>
        <w:trPr>
          <w:trHeight w:val="200" w:hRule="atLeast"/>
        </w:trPr>
        <w:tc>
          <w:tcPr>
            <w:tcW w:w="600" w:type="dxa"/>
            <w:vMerge w:val="continue"/>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r>
          </w:p>
        </w:tc>
        <w:tc>
          <w:tcPr>
            <w:tcW w:w="1714" w:type="dxa"/>
            <w:vMerge w:val="continue"/>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r>
          </w:p>
        </w:tc>
        <w:tc>
          <w:tcPr>
            <w:tcW w:w="1608" w:type="dxa"/>
            <w:vMerge w:val="continue"/>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r>
          </w:p>
        </w:tc>
        <w:tc>
          <w:tcPr>
            <w:tcW w:w="125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 xml:space="preserve">Всего </w:t>
            </w:r>
          </w:p>
        </w:tc>
        <w:tc>
          <w:tcPr>
            <w:tcW w:w="1081"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2015</w:t>
            </w:r>
          </w:p>
        </w:tc>
        <w:tc>
          <w:tcPr>
            <w:tcW w:w="901"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2016</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2017</w:t>
            </w:r>
          </w:p>
        </w:tc>
        <w:tc>
          <w:tcPr>
            <w:tcW w:w="816"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2018</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2019</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2020</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План до 2029</w:t>
            </w:r>
          </w:p>
        </w:tc>
        <w:tc>
          <w:tcPr>
            <w:tcW w:w="1640" w:type="dxa"/>
            <w:vMerge w:val="continue"/>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r>
          </w:p>
        </w:tc>
      </w:tr>
      <w:tr>
        <w:trPr/>
        <w:tc>
          <w:tcPr>
            <w:tcW w:w="600"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w:t>
            </w:r>
          </w:p>
        </w:tc>
        <w:tc>
          <w:tcPr>
            <w:tcW w:w="171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w:t>
            </w:r>
          </w:p>
        </w:tc>
        <w:tc>
          <w:tcPr>
            <w:tcW w:w="1608"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4</w:t>
            </w:r>
          </w:p>
        </w:tc>
        <w:tc>
          <w:tcPr>
            <w:tcW w:w="1254"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5</w:t>
            </w:r>
          </w:p>
        </w:tc>
        <w:tc>
          <w:tcPr>
            <w:tcW w:w="108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6</w:t>
            </w:r>
          </w:p>
        </w:tc>
        <w:tc>
          <w:tcPr>
            <w:tcW w:w="90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7</w:t>
            </w:r>
          </w:p>
        </w:tc>
        <w:tc>
          <w:tcPr>
            <w:tcW w:w="815"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8</w:t>
            </w:r>
          </w:p>
        </w:tc>
        <w:tc>
          <w:tcPr>
            <w:tcW w:w="816"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9</w:t>
            </w:r>
          </w:p>
        </w:tc>
        <w:tc>
          <w:tcPr>
            <w:tcW w:w="8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10</w:t>
            </w:r>
          </w:p>
        </w:tc>
        <w:tc>
          <w:tcPr>
            <w:tcW w:w="815"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11</w:t>
            </w:r>
          </w:p>
        </w:tc>
        <w:tc>
          <w:tcPr>
            <w:tcW w:w="8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12</w:t>
            </w:r>
          </w:p>
        </w:tc>
        <w:tc>
          <w:tcPr>
            <w:tcW w:w="1640"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13</w:t>
            </w:r>
          </w:p>
        </w:tc>
      </w:tr>
      <w:tr>
        <w:trPr>
          <w:trHeight w:val="1340" w:hRule="atLeast"/>
        </w:trPr>
        <w:tc>
          <w:tcPr>
            <w:tcW w:w="60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71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Строительство реконструкция объектов электрических сетей поселения включая разработку проектно-сметной документации</w:t>
            </w:r>
          </w:p>
          <w:p>
            <w:pPr>
              <w:pStyle w:val="Normal"/>
              <w:jc w:val="center"/>
              <w:rPr>
                <w:sz w:val="20"/>
              </w:rPr>
            </w:pPr>
            <w:r>
              <w:rPr>
                <w:sz w:val="20"/>
              </w:rPr>
              <w:t xml:space="preserve"> </w:t>
            </w:r>
            <w:r>
              <w:rPr>
                <w:sz w:val="20"/>
              </w:rPr>
              <w:t xml:space="preserve">(включая  разводящие электрические  сети и сети уличного освещения под малоэтажное строительство </w:t>
            </w:r>
          </w:p>
          <w:p>
            <w:pPr>
              <w:pStyle w:val="Normal"/>
              <w:jc w:val="center"/>
              <w:rPr>
                <w:szCs w:val="28"/>
              </w:rPr>
            </w:pPr>
            <w:r>
              <w:rPr>
                <w:sz w:val="20"/>
              </w:rPr>
              <w:t xml:space="preserve">п. Первомайский) </w:t>
            </w:r>
          </w:p>
        </w:tc>
        <w:tc>
          <w:tcPr>
            <w:tcW w:w="160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20</w:t>
            </w:r>
          </w:p>
        </w:tc>
        <w:tc>
          <w:tcPr>
            <w:tcW w:w="125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3854,6</w:t>
            </w:r>
          </w:p>
        </w:tc>
        <w:tc>
          <w:tcPr>
            <w:tcW w:w="1081"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294,0</w:t>
            </w:r>
          </w:p>
        </w:tc>
        <w:tc>
          <w:tcPr>
            <w:tcW w:w="901"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546,0</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529,2</w:t>
            </w:r>
          </w:p>
        </w:tc>
        <w:tc>
          <w:tcPr>
            <w:tcW w:w="816"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227,4</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378,0</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378,0</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1502,0</w:t>
            </w:r>
          </w:p>
        </w:tc>
        <w:tc>
          <w:tcPr>
            <w:tcW w:w="1640"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областной бюджет</w:t>
            </w:r>
          </w:p>
          <w:p>
            <w:pPr>
              <w:pStyle w:val="Normal"/>
              <w:jc w:val="center"/>
              <w:rPr>
                <w:sz w:val="20"/>
              </w:rPr>
            </w:pPr>
            <w:r>
              <w:rPr>
                <w:sz w:val="20"/>
              </w:rPr>
            </w:r>
          </w:p>
          <w:p>
            <w:pPr>
              <w:pStyle w:val="Normal"/>
              <w:jc w:val="center"/>
              <w:rPr>
                <w:sz w:val="20"/>
              </w:rPr>
            </w:pPr>
            <w:r>
              <w:rPr>
                <w:sz w:val="20"/>
              </w:rPr>
            </w:r>
          </w:p>
          <w:p>
            <w:pPr>
              <w:pStyle w:val="Normal"/>
              <w:jc w:val="center"/>
              <w:rPr>
                <w:sz w:val="20"/>
              </w:rPr>
            </w:pPr>
            <w:r>
              <w:rPr>
                <w:sz w:val="20"/>
              </w:rPr>
            </w:r>
          </w:p>
          <w:p>
            <w:pPr>
              <w:pStyle w:val="Normal"/>
              <w:jc w:val="center"/>
              <w:rPr>
                <w:sz w:val="20"/>
              </w:rPr>
            </w:pPr>
            <w:r>
              <w:rPr>
                <w:sz w:val="20"/>
              </w:rPr>
            </w:r>
          </w:p>
          <w:p>
            <w:pPr>
              <w:pStyle w:val="Normal"/>
              <w:jc w:val="center"/>
              <w:rPr>
                <w:sz w:val="20"/>
              </w:rPr>
            </w:pPr>
            <w:r>
              <w:rPr>
                <w:sz w:val="20"/>
              </w:rPr>
            </w:r>
          </w:p>
        </w:tc>
      </w:tr>
      <w:tr>
        <w:trPr>
          <w:trHeight w:val="3000" w:hRule="atLeast"/>
        </w:trPr>
        <w:tc>
          <w:tcPr>
            <w:tcW w:w="6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714"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0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25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742,6</w:t>
            </w:r>
          </w:p>
        </w:tc>
        <w:tc>
          <w:tcPr>
            <w:tcW w:w="1081" w:type="dxa"/>
            <w:tcBorders>
              <w:top w:val="single" w:sz="4" w:space="0" w:color="000000"/>
              <w:left w:val="single" w:sz="4" w:space="0" w:color="000000"/>
              <w:bottom w:val="single" w:sz="4" w:space="0" w:color="000000"/>
              <w:right w:val="single" w:sz="4" w:space="0" w:color="000000"/>
            </w:tcBorders>
          </w:tcPr>
          <w:p>
            <w:pPr>
              <w:pStyle w:val="Normal"/>
              <w:ind w:right="-220"/>
              <w:rPr>
                <w:sz w:val="20"/>
              </w:rPr>
            </w:pPr>
            <w:r>
              <w:rPr>
                <w:sz w:val="20"/>
              </w:rPr>
              <w:t>56,0</w:t>
            </w:r>
          </w:p>
        </w:tc>
        <w:tc>
          <w:tcPr>
            <w:tcW w:w="901"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104,0</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100,8</w:t>
            </w:r>
          </w:p>
        </w:tc>
        <w:tc>
          <w:tcPr>
            <w:tcW w:w="816"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43,2</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72,0</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72,0</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294,6</w:t>
            </w:r>
          </w:p>
        </w:tc>
        <w:tc>
          <w:tcPr>
            <w:tcW w:w="1640"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местный бюджет</w:t>
            </w:r>
          </w:p>
          <w:p>
            <w:pPr>
              <w:pStyle w:val="Normal"/>
              <w:jc w:val="center"/>
              <w:rPr>
                <w:sz w:val="20"/>
              </w:rPr>
            </w:pPr>
            <w:r>
              <w:rPr>
                <w:sz w:val="20"/>
              </w:rPr>
            </w:r>
          </w:p>
          <w:p>
            <w:pPr>
              <w:pStyle w:val="Normal"/>
              <w:jc w:val="center"/>
              <w:rPr>
                <w:sz w:val="20"/>
              </w:rPr>
            </w:pPr>
            <w:r>
              <w:rPr>
                <w:sz w:val="20"/>
              </w:rPr>
            </w:r>
          </w:p>
          <w:p>
            <w:pPr>
              <w:pStyle w:val="Normal"/>
              <w:jc w:val="center"/>
              <w:rPr>
                <w:sz w:val="20"/>
              </w:rPr>
            </w:pPr>
            <w:r>
              <w:rPr>
                <w:sz w:val="20"/>
              </w:rPr>
            </w:r>
          </w:p>
          <w:p>
            <w:pPr>
              <w:pStyle w:val="Normal"/>
              <w:jc w:val="center"/>
              <w:rPr>
                <w:sz w:val="20"/>
              </w:rPr>
            </w:pPr>
            <w:r>
              <w:rPr>
                <w:sz w:val="20"/>
              </w:rPr>
            </w:r>
          </w:p>
          <w:p>
            <w:pPr>
              <w:pStyle w:val="Normal"/>
              <w:jc w:val="center"/>
              <w:rPr>
                <w:sz w:val="20"/>
              </w:rPr>
            </w:pPr>
            <w:r>
              <w:rPr>
                <w:sz w:val="20"/>
              </w:rPr>
            </w:r>
          </w:p>
          <w:p>
            <w:pPr>
              <w:pStyle w:val="Normal"/>
              <w:jc w:val="center"/>
              <w:rPr>
                <w:sz w:val="20"/>
              </w:rPr>
            </w:pPr>
            <w:r>
              <w:rPr>
                <w:sz w:val="20"/>
              </w:rPr>
            </w:r>
          </w:p>
          <w:p>
            <w:pPr>
              <w:pStyle w:val="Normal"/>
              <w:jc w:val="center"/>
              <w:rPr>
                <w:sz w:val="20"/>
              </w:rPr>
            </w:pPr>
            <w:r>
              <w:rPr>
                <w:sz w:val="20"/>
              </w:rPr>
            </w:r>
          </w:p>
        </w:tc>
      </w:tr>
      <w:tr>
        <w:trPr>
          <w:trHeight w:val="300" w:hRule="atLeast"/>
        </w:trPr>
        <w:tc>
          <w:tcPr>
            <w:tcW w:w="600"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714"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r>
          </w:p>
          <w:p>
            <w:pPr>
              <w:pStyle w:val="Normal"/>
              <w:jc w:val="center"/>
              <w:rPr>
                <w:b/>
              </w:rPr>
            </w:pPr>
            <w:r>
              <w:rPr>
                <w:b/>
              </w:rPr>
              <w:t>итого</w:t>
            </w:r>
          </w:p>
        </w:tc>
        <w:tc>
          <w:tcPr>
            <w:tcW w:w="1608"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r>
          </w:p>
        </w:tc>
        <w:tc>
          <w:tcPr>
            <w:tcW w:w="1254" w:type="dxa"/>
            <w:tcBorders>
              <w:top w:val="single" w:sz="4" w:space="0" w:color="000000"/>
              <w:left w:val="single" w:sz="4" w:space="0" w:color="000000"/>
              <w:bottom w:val="single" w:sz="4" w:space="0" w:color="000000"/>
              <w:right w:val="single" w:sz="4" w:space="0" w:color="000000"/>
            </w:tcBorders>
          </w:tcPr>
          <w:p>
            <w:pPr>
              <w:pStyle w:val="Normal"/>
              <w:rPr>
                <w:b/>
                <w:sz w:val="20"/>
              </w:rPr>
            </w:pPr>
            <w:r>
              <w:rPr>
                <w:b/>
                <w:sz w:val="20"/>
              </w:rPr>
              <w:t>4597,2</w:t>
            </w:r>
          </w:p>
        </w:tc>
        <w:tc>
          <w:tcPr>
            <w:tcW w:w="1081" w:type="dxa"/>
            <w:tcBorders>
              <w:top w:val="single" w:sz="4" w:space="0" w:color="000000"/>
              <w:left w:val="single" w:sz="4" w:space="0" w:color="000000"/>
              <w:bottom w:val="single" w:sz="4" w:space="0" w:color="000000"/>
              <w:right w:val="single" w:sz="4" w:space="0" w:color="000000"/>
            </w:tcBorders>
          </w:tcPr>
          <w:p>
            <w:pPr>
              <w:pStyle w:val="Normal"/>
              <w:ind w:right="-220"/>
              <w:rPr>
                <w:b/>
                <w:sz w:val="20"/>
              </w:rPr>
            </w:pPr>
            <w:r>
              <w:rPr>
                <w:b/>
                <w:sz w:val="20"/>
              </w:rPr>
              <w:t>350</w:t>
            </w:r>
          </w:p>
        </w:tc>
        <w:tc>
          <w:tcPr>
            <w:tcW w:w="901" w:type="dxa"/>
            <w:tcBorders>
              <w:top w:val="single" w:sz="4" w:space="0" w:color="000000"/>
              <w:left w:val="single" w:sz="4" w:space="0" w:color="000000"/>
              <w:bottom w:val="single" w:sz="4" w:space="0" w:color="000000"/>
              <w:right w:val="single" w:sz="4" w:space="0" w:color="000000"/>
            </w:tcBorders>
          </w:tcPr>
          <w:p>
            <w:pPr>
              <w:pStyle w:val="Normal"/>
              <w:rPr>
                <w:b/>
                <w:sz w:val="20"/>
              </w:rPr>
            </w:pPr>
            <w:r>
              <w:rPr>
                <w:b/>
                <w:sz w:val="20"/>
              </w:rPr>
              <w:t>650</w:t>
            </w:r>
          </w:p>
        </w:tc>
        <w:tc>
          <w:tcPr>
            <w:tcW w:w="815" w:type="dxa"/>
            <w:tcBorders>
              <w:top w:val="single" w:sz="4" w:space="0" w:color="000000"/>
              <w:left w:val="single" w:sz="4" w:space="0" w:color="000000"/>
              <w:bottom w:val="single" w:sz="4" w:space="0" w:color="000000"/>
              <w:right w:val="single" w:sz="4" w:space="0" w:color="000000"/>
            </w:tcBorders>
          </w:tcPr>
          <w:p>
            <w:pPr>
              <w:pStyle w:val="Normal"/>
              <w:rPr>
                <w:b/>
                <w:sz w:val="20"/>
              </w:rPr>
            </w:pPr>
            <w:r>
              <w:rPr>
                <w:b/>
                <w:sz w:val="20"/>
              </w:rPr>
              <w:t>630</w:t>
            </w:r>
          </w:p>
        </w:tc>
        <w:tc>
          <w:tcPr>
            <w:tcW w:w="816" w:type="dxa"/>
            <w:tcBorders>
              <w:top w:val="single" w:sz="4" w:space="0" w:color="000000"/>
              <w:left w:val="single" w:sz="4" w:space="0" w:color="000000"/>
              <w:bottom w:val="single" w:sz="4" w:space="0" w:color="000000"/>
              <w:right w:val="single" w:sz="4" w:space="0" w:color="000000"/>
            </w:tcBorders>
          </w:tcPr>
          <w:p>
            <w:pPr>
              <w:pStyle w:val="Normal"/>
              <w:rPr>
                <w:b/>
                <w:sz w:val="20"/>
              </w:rPr>
            </w:pPr>
            <w:r>
              <w:rPr>
                <w:b/>
                <w:sz w:val="20"/>
              </w:rPr>
              <w:t>270,6</w:t>
            </w:r>
          </w:p>
        </w:tc>
        <w:tc>
          <w:tcPr>
            <w:tcW w:w="817" w:type="dxa"/>
            <w:tcBorders>
              <w:top w:val="single" w:sz="4" w:space="0" w:color="000000"/>
              <w:left w:val="single" w:sz="4" w:space="0" w:color="000000"/>
              <w:bottom w:val="single" w:sz="4" w:space="0" w:color="000000"/>
              <w:right w:val="single" w:sz="4" w:space="0" w:color="000000"/>
            </w:tcBorders>
          </w:tcPr>
          <w:p>
            <w:pPr>
              <w:pStyle w:val="Normal"/>
              <w:rPr>
                <w:b/>
                <w:sz w:val="20"/>
              </w:rPr>
            </w:pPr>
            <w:r>
              <w:rPr>
                <w:b/>
                <w:sz w:val="20"/>
              </w:rPr>
              <w:t>450</w:t>
            </w:r>
          </w:p>
        </w:tc>
        <w:tc>
          <w:tcPr>
            <w:tcW w:w="815" w:type="dxa"/>
            <w:tcBorders>
              <w:top w:val="single" w:sz="4" w:space="0" w:color="000000"/>
              <w:left w:val="single" w:sz="4" w:space="0" w:color="000000"/>
              <w:bottom w:val="single" w:sz="4" w:space="0" w:color="000000"/>
              <w:right w:val="single" w:sz="4" w:space="0" w:color="000000"/>
            </w:tcBorders>
          </w:tcPr>
          <w:p>
            <w:pPr>
              <w:pStyle w:val="Normal"/>
              <w:rPr>
                <w:b/>
                <w:sz w:val="20"/>
              </w:rPr>
            </w:pPr>
            <w:r>
              <w:rPr>
                <w:b/>
                <w:sz w:val="20"/>
              </w:rPr>
              <w:t>450</w:t>
            </w:r>
          </w:p>
        </w:tc>
        <w:tc>
          <w:tcPr>
            <w:tcW w:w="817" w:type="dxa"/>
            <w:tcBorders>
              <w:top w:val="single" w:sz="4" w:space="0" w:color="000000"/>
              <w:left w:val="single" w:sz="4" w:space="0" w:color="000000"/>
              <w:bottom w:val="single" w:sz="4" w:space="0" w:color="000000"/>
              <w:right w:val="single" w:sz="4" w:space="0" w:color="000000"/>
            </w:tcBorders>
          </w:tcPr>
          <w:p>
            <w:pPr>
              <w:pStyle w:val="Normal"/>
              <w:rPr>
                <w:b/>
                <w:sz w:val="20"/>
              </w:rPr>
            </w:pPr>
            <w:r>
              <w:rPr>
                <w:b/>
                <w:sz w:val="20"/>
              </w:rPr>
              <w:t>1796,6</w:t>
            </w:r>
          </w:p>
        </w:tc>
        <w:tc>
          <w:tcPr>
            <w:tcW w:w="1640" w:type="dxa"/>
            <w:tcBorders>
              <w:top w:val="single" w:sz="4" w:space="0" w:color="000000"/>
              <w:left w:val="single" w:sz="4" w:space="0" w:color="000000"/>
              <w:bottom w:val="single" w:sz="4" w:space="0" w:color="000000"/>
              <w:right w:val="single" w:sz="4" w:space="0" w:color="000000"/>
            </w:tcBorders>
          </w:tcPr>
          <w:p>
            <w:pPr>
              <w:pStyle w:val="Normal"/>
              <w:jc w:val="center"/>
              <w:rPr>
                <w:b/>
                <w:sz w:val="20"/>
              </w:rPr>
            </w:pPr>
            <w:r>
              <w:rPr>
                <w:b/>
                <w:sz w:val="20"/>
              </w:rPr>
            </w:r>
          </w:p>
        </w:tc>
      </w:tr>
      <w:tr>
        <w:trPr>
          <w:trHeight w:val="1765" w:hRule="atLeast"/>
        </w:trPr>
        <w:tc>
          <w:tcPr>
            <w:tcW w:w="60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71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в.ч</w:t>
            </w:r>
          </w:p>
          <w:p>
            <w:pPr>
              <w:pStyle w:val="Normal"/>
              <w:jc w:val="center"/>
              <w:rPr>
                <w:sz w:val="20"/>
              </w:rPr>
            </w:pPr>
            <w:r>
              <w:rPr>
                <w:sz w:val="20"/>
              </w:rPr>
            </w:r>
          </w:p>
          <w:p>
            <w:pPr>
              <w:pStyle w:val="Normal"/>
              <w:jc w:val="center"/>
              <w:rPr>
                <w:sz w:val="20"/>
              </w:rPr>
            </w:pPr>
            <w:r>
              <w:rPr>
                <w:sz w:val="20"/>
              </w:rPr>
              <w:t xml:space="preserve">строительство реконструкция объектов электрических сетей поселения </w:t>
            </w:r>
          </w:p>
        </w:tc>
        <w:tc>
          <w:tcPr>
            <w:tcW w:w="160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25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1529,4</w:t>
            </w:r>
          </w:p>
          <w:p>
            <w:pPr>
              <w:pStyle w:val="Normal"/>
              <w:rPr>
                <w:sz w:val="20"/>
              </w:rPr>
            </w:pPr>
            <w:r>
              <w:rPr>
                <w:sz w:val="20"/>
              </w:rPr>
            </w:r>
          </w:p>
        </w:tc>
        <w:tc>
          <w:tcPr>
            <w:tcW w:w="108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w:t>
            </w:r>
          </w:p>
        </w:tc>
        <w:tc>
          <w:tcPr>
            <w:tcW w:w="901"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546,0</w:t>
            </w:r>
          </w:p>
        </w:tc>
        <w:tc>
          <w:tcPr>
            <w:tcW w:w="815"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w:t>
            </w:r>
          </w:p>
        </w:tc>
        <w:tc>
          <w:tcPr>
            <w:tcW w:w="816"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227,4</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378,0</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378,0</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1051,4</w:t>
            </w:r>
          </w:p>
        </w:tc>
        <w:tc>
          <w:tcPr>
            <w:tcW w:w="1640"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областной бюджет</w:t>
            </w:r>
          </w:p>
        </w:tc>
      </w:tr>
      <w:tr>
        <w:trPr>
          <w:trHeight w:val="1435" w:hRule="atLeast"/>
        </w:trPr>
        <w:tc>
          <w:tcPr>
            <w:tcW w:w="6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714"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60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25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291,2</w:t>
            </w:r>
          </w:p>
        </w:tc>
        <w:tc>
          <w:tcPr>
            <w:tcW w:w="108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w:t>
            </w:r>
          </w:p>
        </w:tc>
        <w:tc>
          <w:tcPr>
            <w:tcW w:w="901"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104,0</w:t>
            </w:r>
          </w:p>
        </w:tc>
        <w:tc>
          <w:tcPr>
            <w:tcW w:w="815"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w:t>
            </w:r>
          </w:p>
        </w:tc>
        <w:tc>
          <w:tcPr>
            <w:tcW w:w="816"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43,2</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72,0</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72,0</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206,2</w:t>
            </w:r>
          </w:p>
        </w:tc>
        <w:tc>
          <w:tcPr>
            <w:tcW w:w="1640"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местный бюджет</w:t>
            </w:r>
          </w:p>
        </w:tc>
      </w:tr>
      <w:tr>
        <w:trPr>
          <w:trHeight w:val="2470" w:hRule="atLeast"/>
        </w:trPr>
        <w:tc>
          <w:tcPr>
            <w:tcW w:w="600"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714"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разработка проектно-сметной документации на строительство реконструкцию объектов электрических сетей поселения</w:t>
            </w:r>
          </w:p>
        </w:tc>
        <w:tc>
          <w:tcPr>
            <w:tcW w:w="1608"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2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r>
          </w:p>
          <w:p>
            <w:pPr>
              <w:pStyle w:val="Normal"/>
              <w:jc w:val="center"/>
              <w:rPr>
                <w:sz w:val="20"/>
              </w:rPr>
            </w:pPr>
            <w:r>
              <w:rPr>
                <w:sz w:val="20"/>
              </w:rPr>
              <w:t>823,2</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294,0</w:t>
            </w:r>
          </w:p>
        </w:tc>
        <w:tc>
          <w:tcPr>
            <w:tcW w:w="90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529,2</w:t>
            </w:r>
          </w:p>
        </w:tc>
        <w:tc>
          <w:tcPr>
            <w:tcW w:w="816"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w:t>
            </w:r>
          </w:p>
        </w:tc>
        <w:tc>
          <w:tcPr>
            <w:tcW w:w="81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r>
          </w:p>
          <w:p>
            <w:pPr>
              <w:pStyle w:val="Normal"/>
              <w:jc w:val="center"/>
              <w:rPr>
                <w:sz w:val="20"/>
              </w:rPr>
            </w:pPr>
            <w:r>
              <w:rPr>
                <w:sz w:val="20"/>
              </w:rPr>
              <w:t>823,2</w:t>
            </w:r>
          </w:p>
        </w:tc>
        <w:tc>
          <w:tcPr>
            <w:tcW w:w="81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20"/>
              </w:rPr>
            </w:pPr>
            <w:r>
              <w:rPr>
                <w:sz w:val="20"/>
              </w:rPr>
              <w:t>450,6</w:t>
            </w:r>
          </w:p>
        </w:tc>
        <w:tc>
          <w:tcPr>
            <w:tcW w:w="1640"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областной бюджет</w:t>
            </w:r>
          </w:p>
        </w:tc>
      </w:tr>
      <w:tr>
        <w:trPr>
          <w:trHeight w:val="2335" w:hRule="atLeast"/>
        </w:trPr>
        <w:tc>
          <w:tcPr>
            <w:tcW w:w="600"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714"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Cs w:val="28"/>
              </w:rPr>
            </w:pPr>
            <w:r>
              <w:rPr>
                <w:szCs w:val="28"/>
              </w:rPr>
            </w:r>
          </w:p>
        </w:tc>
        <w:tc>
          <w:tcPr>
            <w:tcW w:w="1608"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1254"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156,8</w:t>
            </w:r>
          </w:p>
        </w:tc>
        <w:tc>
          <w:tcPr>
            <w:tcW w:w="1081" w:type="dxa"/>
            <w:tcBorders>
              <w:top w:val="single" w:sz="4" w:space="0" w:color="000000"/>
              <w:left w:val="single" w:sz="4" w:space="0" w:color="000000"/>
              <w:bottom w:val="single" w:sz="4" w:space="0" w:color="000000"/>
              <w:right w:val="single" w:sz="4" w:space="0" w:color="000000"/>
            </w:tcBorders>
          </w:tcPr>
          <w:p>
            <w:pPr>
              <w:pStyle w:val="Normal"/>
              <w:ind w:right="-220"/>
              <w:rPr>
                <w:sz w:val="20"/>
              </w:rPr>
            </w:pPr>
            <w:r>
              <w:rPr>
                <w:sz w:val="20"/>
              </w:rPr>
              <w:t>56,0</w:t>
            </w:r>
          </w:p>
        </w:tc>
        <w:tc>
          <w:tcPr>
            <w:tcW w:w="901"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100,8</w:t>
            </w:r>
          </w:p>
        </w:tc>
        <w:tc>
          <w:tcPr>
            <w:tcW w:w="816"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w:t>
            </w:r>
          </w:p>
        </w:tc>
        <w:tc>
          <w:tcPr>
            <w:tcW w:w="817"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w:t>
            </w:r>
          </w:p>
        </w:tc>
        <w:tc>
          <w:tcPr>
            <w:tcW w:w="815"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156,8</w:t>
            </w:r>
          </w:p>
        </w:tc>
        <w:tc>
          <w:tcPr>
            <w:tcW w:w="817" w:type="dxa"/>
            <w:tcBorders>
              <w:top w:val="single" w:sz="4" w:space="0" w:color="000000"/>
              <w:left w:val="single" w:sz="4" w:space="0" w:color="000000"/>
              <w:bottom w:val="single" w:sz="4" w:space="0" w:color="000000"/>
              <w:right w:val="single" w:sz="4" w:space="0" w:color="000000"/>
            </w:tcBorders>
          </w:tcPr>
          <w:p>
            <w:pPr>
              <w:pStyle w:val="Normal"/>
              <w:rPr>
                <w:sz w:val="20"/>
              </w:rPr>
            </w:pPr>
            <w:r>
              <w:rPr>
                <w:sz w:val="20"/>
              </w:rPr>
              <w:t>88,38</w:t>
            </w:r>
          </w:p>
        </w:tc>
        <w:tc>
          <w:tcPr>
            <w:tcW w:w="1640" w:type="dxa"/>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t>местный бюджет</w:t>
            </w:r>
          </w:p>
        </w:tc>
      </w:tr>
    </w:tbl>
    <w:p>
      <w:pPr>
        <w:pStyle w:val="Normal"/>
        <w:rPr/>
      </w:pPr>
      <w:r>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rPr>
          <w:b/>
          <w:sz w:val="26"/>
          <w:szCs w:val="26"/>
        </w:rPr>
      </w:pPr>
      <w:r>
        <w:rPr>
          <w:b/>
          <w:sz w:val="26"/>
          <w:szCs w:val="26"/>
        </w:rPr>
      </w:r>
    </w:p>
    <w:p>
      <w:pPr>
        <w:pStyle w:val="Normal"/>
        <w:jc w:val="right"/>
        <w:rPr>
          <w:sz w:val="26"/>
          <w:szCs w:val="26"/>
        </w:rPr>
      </w:pPr>
      <w:r>
        <w:rPr>
          <w:sz w:val="26"/>
          <w:szCs w:val="26"/>
        </w:rPr>
        <w:t>Приложение № 2</w:t>
      </w:r>
    </w:p>
    <w:p>
      <w:pPr>
        <w:pStyle w:val="Normal"/>
        <w:jc w:val="center"/>
        <w:rPr>
          <w:sz w:val="26"/>
          <w:szCs w:val="26"/>
        </w:rPr>
      </w:pPr>
      <w:r>
        <w:rPr>
          <w:sz w:val="26"/>
          <w:szCs w:val="26"/>
        </w:rPr>
        <w:t>ПРОГРАММА</w:t>
      </w:r>
    </w:p>
    <w:p>
      <w:pPr>
        <w:pStyle w:val="Normal"/>
        <w:jc w:val="center"/>
        <w:rPr>
          <w:sz w:val="26"/>
          <w:szCs w:val="26"/>
        </w:rPr>
      </w:pPr>
      <w:r>
        <w:rPr>
          <w:sz w:val="26"/>
          <w:szCs w:val="26"/>
        </w:rPr>
        <w:t>модернизации и реконструкции систем водоснабжения и водоотведения населенных пунктов Долотинского сельского поселения</w:t>
      </w:r>
    </w:p>
    <w:p>
      <w:pPr>
        <w:pStyle w:val="Normal"/>
        <w:jc w:val="center"/>
        <w:rPr>
          <w:sz w:val="26"/>
          <w:szCs w:val="26"/>
        </w:rPr>
      </w:pPr>
      <w:r>
        <w:rPr>
          <w:sz w:val="26"/>
          <w:szCs w:val="26"/>
        </w:rPr>
        <w:t>на 2012-2029 годы</w:t>
      </w:r>
    </w:p>
    <w:tbl>
      <w:tblPr>
        <w:tblW w:w="16023"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961"/>
        <w:gridCol w:w="1437"/>
        <w:gridCol w:w="1200"/>
        <w:gridCol w:w="1292"/>
        <w:gridCol w:w="1054"/>
        <w:gridCol w:w="663"/>
        <w:gridCol w:w="928"/>
        <w:gridCol w:w="1135"/>
        <w:gridCol w:w="876"/>
        <w:gridCol w:w="662"/>
        <w:gridCol w:w="1060"/>
        <w:gridCol w:w="664"/>
        <w:gridCol w:w="955"/>
        <w:gridCol w:w="1195"/>
        <w:gridCol w:w="1402"/>
        <w:gridCol w:w="535"/>
      </w:tblGrid>
      <w:tr>
        <w:trPr>
          <w:trHeight w:val="466" w:hRule="atLeast"/>
        </w:trPr>
        <w:tc>
          <w:tcPr>
            <w:tcW w:w="9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color w:val="000000"/>
              </w:rPr>
            </w:pPr>
            <w:r>
              <w:rPr>
                <w:bCs/>
                <w:color w:val="000000"/>
              </w:rPr>
              <w:t>№</w:t>
            </w:r>
            <w:r>
              <w:rPr>
                <w:bCs/>
                <w:color w:val="000000"/>
              </w:rPr>
              <w:br/>
              <w:t>п/п</w:t>
            </w:r>
          </w:p>
        </w:tc>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Наименование  объекта</w:t>
            </w:r>
          </w:p>
        </w:tc>
        <w:tc>
          <w:tcPr>
            <w:tcW w:w="1200" w:type="dxa"/>
            <w:tcBorders>
              <w:top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Мощность (м3)</w:t>
            </w:r>
          </w:p>
        </w:tc>
        <w:tc>
          <w:tcPr>
            <w:tcW w:w="1292" w:type="dxa"/>
            <w:tcBorders>
              <w:top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Сметная стоим.</w:t>
            </w:r>
          </w:p>
        </w:tc>
        <w:tc>
          <w:tcPr>
            <w:tcW w:w="7997" w:type="dxa"/>
            <w:gridSpan w:val="9"/>
            <w:tcBorders>
              <w:top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Прогнозируемый план финансирования по годам, тыс.руб.</w:t>
            </w:r>
          </w:p>
        </w:tc>
        <w:tc>
          <w:tcPr>
            <w:tcW w:w="119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План до 2029</w:t>
            </w:r>
          </w:p>
        </w:tc>
        <w:tc>
          <w:tcPr>
            <w:tcW w:w="1402"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Источники финансирования</w:t>
            </w:r>
          </w:p>
        </w:tc>
        <w:tc>
          <w:tcPr>
            <w:tcW w:w="53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rPr>
            </w:pPr>
            <w:r>
              <w:rPr>
                <w:color w:val="000000"/>
              </w:rPr>
              <w:t>Наличие ПСД</w:t>
              <w:br/>
              <w:t>и экспертизы</w:t>
            </w:r>
          </w:p>
        </w:tc>
      </w:tr>
      <w:tr>
        <w:trPr>
          <w:trHeight w:val="473" w:hRule="atLeast"/>
        </w:trPr>
        <w:tc>
          <w:tcPr>
            <w:tcW w:w="96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bCs/>
                <w:color w:val="000000"/>
              </w:rPr>
            </w:pPr>
            <w:r>
              <w:rPr>
                <w:bCs/>
                <w:color w:val="000000"/>
              </w:rPr>
            </w:r>
          </w:p>
        </w:tc>
        <w:tc>
          <w:tcPr>
            <w:tcW w:w="143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200" w:type="dxa"/>
            <w:tcBorders>
              <w:bottom w:val="single" w:sz="4" w:space="0" w:color="000000"/>
              <w:right w:val="single" w:sz="4" w:space="0" w:color="000000"/>
            </w:tcBorders>
            <w:shd w:color="auto" w:fill="auto" w:val="clear"/>
          </w:tcPr>
          <w:p>
            <w:pPr>
              <w:pStyle w:val="Normal"/>
              <w:ind w:right="-145"/>
              <w:jc w:val="center"/>
              <w:rPr>
                <w:color w:val="000000"/>
              </w:rPr>
            </w:pPr>
            <w:r>
              <w:rPr>
                <w:color w:val="000000"/>
              </w:rPr>
              <w:t>(протяжен.) (км)</w:t>
            </w:r>
          </w:p>
        </w:tc>
        <w:tc>
          <w:tcPr>
            <w:tcW w:w="1292" w:type="dxa"/>
            <w:tcBorders>
              <w:bottom w:val="single" w:sz="4" w:space="0" w:color="000000"/>
              <w:right w:val="single" w:sz="4" w:space="0" w:color="000000"/>
            </w:tcBorders>
            <w:shd w:color="auto" w:fill="auto" w:val="clear"/>
          </w:tcPr>
          <w:p>
            <w:pPr>
              <w:pStyle w:val="Normal"/>
              <w:jc w:val="center"/>
              <w:rPr>
                <w:color w:val="000000"/>
              </w:rPr>
            </w:pPr>
            <w:r>
              <w:rPr>
                <w:color w:val="000000"/>
              </w:rPr>
              <w:t>(тыс. руб.)</w:t>
            </w:r>
          </w:p>
        </w:tc>
        <w:tc>
          <w:tcPr>
            <w:tcW w:w="1054" w:type="dxa"/>
            <w:tcBorders>
              <w:bottom w:val="single" w:sz="4" w:space="0" w:color="000000"/>
              <w:right w:val="single" w:sz="4" w:space="0" w:color="000000"/>
            </w:tcBorders>
            <w:shd w:color="auto" w:fill="auto" w:val="clear"/>
          </w:tcPr>
          <w:p>
            <w:pPr>
              <w:pStyle w:val="Normal"/>
              <w:jc w:val="center"/>
              <w:rPr>
                <w:color w:val="000000"/>
              </w:rPr>
            </w:pPr>
            <w:r>
              <w:rPr>
                <w:color w:val="000000"/>
              </w:rPr>
              <w:t>2012</w:t>
            </w:r>
          </w:p>
        </w:tc>
        <w:tc>
          <w:tcPr>
            <w:tcW w:w="663" w:type="dxa"/>
            <w:tcBorders>
              <w:bottom w:val="single" w:sz="4" w:space="0" w:color="000000"/>
              <w:right w:val="single" w:sz="4" w:space="0" w:color="000000"/>
            </w:tcBorders>
            <w:shd w:color="auto" w:fill="auto" w:val="clear"/>
          </w:tcPr>
          <w:p>
            <w:pPr>
              <w:pStyle w:val="Normal"/>
              <w:jc w:val="center"/>
              <w:rPr>
                <w:color w:val="000000"/>
              </w:rPr>
            </w:pPr>
            <w:r>
              <w:rPr>
                <w:color w:val="000000"/>
              </w:rPr>
              <w:t>2013</w:t>
            </w:r>
          </w:p>
        </w:tc>
        <w:tc>
          <w:tcPr>
            <w:tcW w:w="928" w:type="dxa"/>
            <w:tcBorders>
              <w:bottom w:val="single" w:sz="4" w:space="0" w:color="000000"/>
              <w:right w:val="single" w:sz="4" w:space="0" w:color="000000"/>
            </w:tcBorders>
            <w:shd w:color="auto" w:fill="auto" w:val="clear"/>
          </w:tcPr>
          <w:p>
            <w:pPr>
              <w:pStyle w:val="Normal"/>
              <w:jc w:val="center"/>
              <w:rPr>
                <w:color w:val="000000"/>
              </w:rPr>
            </w:pPr>
            <w:r>
              <w:rPr>
                <w:color w:val="000000"/>
              </w:rPr>
              <w:t>2014</w:t>
            </w:r>
          </w:p>
        </w:tc>
        <w:tc>
          <w:tcPr>
            <w:tcW w:w="1135" w:type="dxa"/>
            <w:tcBorders>
              <w:bottom w:val="single" w:sz="4" w:space="0" w:color="000000"/>
              <w:right w:val="single" w:sz="4" w:space="0" w:color="000000"/>
            </w:tcBorders>
            <w:shd w:color="auto" w:fill="auto" w:val="clear"/>
          </w:tcPr>
          <w:p>
            <w:pPr>
              <w:pStyle w:val="Normal"/>
              <w:jc w:val="center"/>
              <w:rPr>
                <w:color w:val="000000"/>
              </w:rPr>
            </w:pPr>
            <w:r>
              <w:rPr>
                <w:color w:val="000000"/>
              </w:rPr>
              <w:t>2015</w:t>
            </w:r>
          </w:p>
        </w:tc>
        <w:tc>
          <w:tcPr>
            <w:tcW w:w="876" w:type="dxa"/>
            <w:tcBorders>
              <w:bottom w:val="single" w:sz="4" w:space="0" w:color="000000"/>
              <w:right w:val="single" w:sz="4" w:space="0" w:color="000000"/>
            </w:tcBorders>
            <w:shd w:color="auto" w:fill="auto" w:val="clear"/>
          </w:tcPr>
          <w:p>
            <w:pPr>
              <w:pStyle w:val="Normal"/>
              <w:ind w:hanging="286"/>
              <w:jc w:val="center"/>
              <w:rPr>
                <w:color w:val="000000"/>
              </w:rPr>
            </w:pPr>
            <w:r>
              <w:rPr>
                <w:color w:val="000000"/>
              </w:rPr>
              <w:t>2016</w:t>
            </w:r>
          </w:p>
        </w:tc>
        <w:tc>
          <w:tcPr>
            <w:tcW w:w="662"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2017</w:t>
            </w:r>
          </w:p>
        </w:tc>
        <w:tc>
          <w:tcPr>
            <w:tcW w:w="1060"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2018</w:t>
            </w:r>
          </w:p>
        </w:tc>
        <w:tc>
          <w:tcPr>
            <w:tcW w:w="664"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2019</w:t>
            </w:r>
          </w:p>
        </w:tc>
        <w:tc>
          <w:tcPr>
            <w:tcW w:w="955" w:type="dxa"/>
            <w:tcBorders>
              <w:top w:val="single" w:sz="4" w:space="0" w:color="000000"/>
              <w:left w:val="single" w:sz="4" w:space="0" w:color="000000"/>
              <w:bottom w:val="single" w:sz="4" w:space="0" w:color="000000"/>
              <w:right w:val="single" w:sz="4" w:space="0" w:color="000000"/>
            </w:tcBorders>
          </w:tcPr>
          <w:p>
            <w:pPr>
              <w:pStyle w:val="Normal"/>
              <w:jc w:val="center"/>
              <w:rPr>
                <w:color w:val="000000"/>
              </w:rPr>
            </w:pPr>
            <w:r>
              <w:rPr>
                <w:color w:val="000000"/>
              </w:rPr>
              <w:t>2020</w:t>
            </w:r>
          </w:p>
        </w:tc>
        <w:tc>
          <w:tcPr>
            <w:tcW w:w="11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14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c>
          <w:tcPr>
            <w:tcW w:w="5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color w:val="000000"/>
              </w:rPr>
            </w:pPr>
            <w:r>
              <w:rPr>
                <w:color w:val="000000"/>
              </w:rPr>
            </w:r>
          </w:p>
        </w:tc>
      </w:tr>
      <w:tr>
        <w:trPr>
          <w:trHeight w:val="330" w:hRule="atLeast"/>
        </w:trPr>
        <w:tc>
          <w:tcPr>
            <w:tcW w:w="961" w:type="dxa"/>
            <w:tcBorders>
              <w:left w:val="single" w:sz="4" w:space="0" w:color="000000"/>
              <w:bottom w:val="single" w:sz="4" w:space="0" w:color="000000"/>
              <w:right w:val="single" w:sz="4" w:space="0" w:color="000000"/>
            </w:tcBorders>
            <w:shd w:color="auto" w:fill="auto" w:val="clear"/>
            <w:vAlign w:val="center"/>
          </w:tcPr>
          <w:p>
            <w:pPr>
              <w:pStyle w:val="Normal"/>
              <w:jc w:val="center"/>
              <w:rPr>
                <w:bCs/>
                <w:color w:val="000000"/>
              </w:rPr>
            </w:pPr>
            <w:r>
              <w:rPr>
                <w:bCs/>
                <w:color w:val="000000"/>
              </w:rPr>
              <w:t>1</w:t>
            </w:r>
          </w:p>
        </w:tc>
        <w:tc>
          <w:tcPr>
            <w:tcW w:w="1437"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w:t>
            </w:r>
          </w:p>
        </w:tc>
        <w:tc>
          <w:tcPr>
            <w:tcW w:w="120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w:t>
            </w:r>
          </w:p>
        </w:tc>
        <w:tc>
          <w:tcPr>
            <w:tcW w:w="129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4</w:t>
            </w:r>
          </w:p>
        </w:tc>
        <w:tc>
          <w:tcPr>
            <w:tcW w:w="10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5</w:t>
            </w:r>
          </w:p>
        </w:tc>
        <w:tc>
          <w:tcPr>
            <w:tcW w:w="663"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6</w:t>
            </w:r>
          </w:p>
        </w:tc>
        <w:tc>
          <w:tcPr>
            <w:tcW w:w="928"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7</w:t>
            </w:r>
          </w:p>
        </w:tc>
        <w:tc>
          <w:tcPr>
            <w:tcW w:w="11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w:t>
            </w:r>
          </w:p>
        </w:tc>
        <w:tc>
          <w:tcPr>
            <w:tcW w:w="876"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9</w:t>
            </w:r>
          </w:p>
        </w:tc>
        <w:tc>
          <w:tcPr>
            <w:tcW w:w="66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10</w:t>
            </w:r>
          </w:p>
        </w:tc>
        <w:tc>
          <w:tcPr>
            <w:tcW w:w="1060"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11</w:t>
            </w:r>
          </w:p>
        </w:tc>
        <w:tc>
          <w:tcPr>
            <w:tcW w:w="66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c>
          <w:tcPr>
            <w:tcW w:w="95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w:t>
            </w:r>
          </w:p>
        </w:tc>
        <w:tc>
          <w:tcPr>
            <w:tcW w:w="119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14</w:t>
            </w:r>
          </w:p>
        </w:tc>
        <w:tc>
          <w:tcPr>
            <w:tcW w:w="140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15</w:t>
            </w:r>
          </w:p>
        </w:tc>
        <w:tc>
          <w:tcPr>
            <w:tcW w:w="535"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16</w:t>
            </w:r>
          </w:p>
        </w:tc>
      </w:tr>
      <w:tr>
        <w:trPr>
          <w:trHeight w:val="330" w:hRule="atLeast"/>
        </w:trPr>
        <w:tc>
          <w:tcPr>
            <w:tcW w:w="961" w:type="dxa"/>
            <w:vMerge w:val="restart"/>
            <w:tcBorders>
              <w:left w:val="single" w:sz="4" w:space="0" w:color="000000"/>
              <w:bottom w:val="single" w:sz="4" w:space="0" w:color="000000"/>
              <w:right w:val="single" w:sz="4" w:space="0" w:color="000000"/>
            </w:tcBorders>
            <w:shd w:color="auto" w:fill="auto" w:val="clear"/>
          </w:tcPr>
          <w:p>
            <w:pPr>
              <w:pStyle w:val="Normal"/>
              <w:jc w:val="center"/>
              <w:rPr>
                <w:bCs/>
              </w:rPr>
            </w:pPr>
            <w:r>
              <w:rPr>
                <w:bCs/>
              </w:rPr>
              <w:t>3.1.</w:t>
            </w:r>
          </w:p>
        </w:tc>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Реконструкция внутрипоселковых разводящих водопроводных сетей п. Первомайский</w:t>
            </w:r>
          </w:p>
        </w:tc>
        <w:tc>
          <w:tcPr>
            <w:tcW w:w="1200"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pPr>
            <w:r>
              <w:rPr/>
              <w:t>5,20</w:t>
            </w:r>
          </w:p>
        </w:tc>
        <w:tc>
          <w:tcPr>
            <w:tcW w:w="1292"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pPr>
            <w:r>
              <w:rPr/>
            </w:r>
          </w:p>
          <w:p>
            <w:pPr>
              <w:pStyle w:val="Normal"/>
              <w:jc w:val="center"/>
              <w:rPr/>
            </w:pPr>
            <w:r>
              <w:rPr/>
              <w:t>39628,6</w:t>
            </w:r>
          </w:p>
          <w:p>
            <w:pPr>
              <w:pStyle w:val="Normal"/>
              <w:jc w:val="center"/>
              <w:rPr/>
            </w:pPr>
            <w:r>
              <w:rPr/>
              <w:t xml:space="preserve"> </w:t>
            </w:r>
          </w:p>
        </w:tc>
        <w:tc>
          <w:tcPr>
            <w:tcW w:w="1054" w:type="dxa"/>
            <w:tcBorders>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bottom w:val="single" w:sz="4" w:space="0" w:color="000000"/>
              <w:right w:val="single" w:sz="4" w:space="0" w:color="000000"/>
            </w:tcBorders>
            <w:shd w:color="auto" w:fill="auto" w:val="clear"/>
            <w:vAlign w:val="center"/>
          </w:tcPr>
          <w:p>
            <w:pPr>
              <w:pStyle w:val="Normal"/>
              <w:jc w:val="center"/>
              <w:rPr/>
            </w:pPr>
            <w:r>
              <w:rPr/>
            </w:r>
          </w:p>
          <w:p>
            <w:pPr>
              <w:pStyle w:val="Normal"/>
              <w:jc w:val="center"/>
              <w:rPr/>
            </w:pPr>
            <w:r>
              <w:rPr/>
            </w:r>
          </w:p>
          <w:p>
            <w:pPr>
              <w:pStyle w:val="Normal"/>
              <w:jc w:val="center"/>
              <w:rPr/>
            </w:pPr>
            <w:r>
              <w:rPr/>
            </w:r>
          </w:p>
        </w:tc>
        <w:tc>
          <w:tcPr>
            <w:tcW w:w="928" w:type="dxa"/>
            <w:tcBorders>
              <w:bottom w:val="single" w:sz="4" w:space="0" w:color="000000"/>
              <w:right w:val="single" w:sz="4" w:space="0" w:color="000000"/>
            </w:tcBorders>
            <w:shd w:color="auto" w:fill="auto" w:val="clear"/>
          </w:tcPr>
          <w:p>
            <w:pPr>
              <w:pStyle w:val="Normal"/>
              <w:rPr/>
            </w:pPr>
            <w:r>
              <w:rPr/>
            </w:r>
          </w:p>
        </w:tc>
        <w:tc>
          <w:tcPr>
            <w:tcW w:w="1135" w:type="dxa"/>
            <w:tcBorders>
              <w:bottom w:val="single" w:sz="4" w:space="0" w:color="000000"/>
              <w:right w:val="single" w:sz="4" w:space="0" w:color="000000"/>
            </w:tcBorders>
            <w:shd w:color="auto" w:fill="auto" w:val="clear"/>
            <w:vAlign w:val="center"/>
          </w:tcPr>
          <w:p>
            <w:pPr>
              <w:pStyle w:val="Normal"/>
              <w:jc w:val="center"/>
              <w:rPr/>
            </w:pPr>
            <w:r>
              <w:rPr/>
            </w:r>
          </w:p>
        </w:tc>
        <w:tc>
          <w:tcPr>
            <w:tcW w:w="876" w:type="dxa"/>
            <w:tcBorders>
              <w:bottom w:val="single" w:sz="4" w:space="0" w:color="000000"/>
              <w:right w:val="single" w:sz="4" w:space="0" w:color="000000"/>
            </w:tcBorders>
            <w:shd w:color="auto" w:fill="auto" w:val="clear"/>
            <w:vAlign w:val="center"/>
          </w:tcPr>
          <w:p>
            <w:pPr>
              <w:pStyle w:val="Normal"/>
              <w:ind w:firstLine="248" w:left="-248"/>
              <w:jc w:val="center"/>
              <w:rPr/>
            </w:pPr>
            <w:r>
              <w:rPr/>
            </w:r>
          </w:p>
        </w:tc>
        <w:tc>
          <w:tcPr>
            <w:tcW w:w="662" w:type="dxa"/>
            <w:tcBorders>
              <w:bottom w:val="single" w:sz="4" w:space="0" w:color="000000"/>
              <w:right w:val="single" w:sz="4" w:space="0" w:color="000000"/>
            </w:tcBorders>
            <w:shd w:color="auto" w:fill="auto" w:val="clear"/>
          </w:tcPr>
          <w:p>
            <w:pPr>
              <w:pStyle w:val="Normal"/>
              <w:rPr/>
            </w:pPr>
            <w:r>
              <w:rPr/>
            </w:r>
          </w:p>
        </w:tc>
        <w:tc>
          <w:tcPr>
            <w:tcW w:w="1060" w:type="dxa"/>
            <w:tcBorders>
              <w:bottom w:val="single" w:sz="4" w:space="0" w:color="000000"/>
              <w:right w:val="single" w:sz="4" w:space="0" w:color="000000"/>
            </w:tcBorders>
            <w:shd w:color="auto" w:fill="auto" w:val="clear"/>
          </w:tcPr>
          <w:p>
            <w:pPr>
              <w:pStyle w:val="Normal"/>
              <w:rPr/>
            </w:pPr>
            <w:r>
              <w:rPr/>
            </w:r>
          </w:p>
        </w:tc>
        <w:tc>
          <w:tcPr>
            <w:tcW w:w="664" w:type="dxa"/>
            <w:tcBorders>
              <w:bottom w:val="single" w:sz="4" w:space="0" w:color="000000"/>
              <w:right w:val="single" w:sz="4" w:space="0" w:color="000000"/>
            </w:tcBorders>
            <w:shd w:color="auto" w:fill="auto" w:val="clear"/>
          </w:tcPr>
          <w:p>
            <w:pPr>
              <w:pStyle w:val="Normal"/>
              <w:rPr/>
            </w:pPr>
            <w:r>
              <w:rPr/>
            </w:r>
          </w:p>
        </w:tc>
        <w:tc>
          <w:tcPr>
            <w:tcW w:w="955" w:type="dxa"/>
            <w:tcBorders>
              <w:bottom w:val="single" w:sz="4" w:space="0" w:color="000000"/>
              <w:right w:val="single" w:sz="4" w:space="0" w:color="000000"/>
            </w:tcBorders>
            <w:shd w:color="auto" w:fill="auto" w:val="clear"/>
          </w:tcPr>
          <w:p>
            <w:pPr>
              <w:pStyle w:val="Normal"/>
              <w:rPr/>
            </w:pPr>
            <w:r>
              <w:rPr/>
            </w:r>
          </w:p>
        </w:tc>
        <w:tc>
          <w:tcPr>
            <w:tcW w:w="1195" w:type="dxa"/>
            <w:tcBorders>
              <w:bottom w:val="single" w:sz="4" w:space="0" w:color="000000"/>
              <w:right w:val="single" w:sz="4" w:space="0" w:color="000000"/>
            </w:tcBorders>
            <w:shd w:color="auto" w:fill="auto" w:val="clear"/>
          </w:tcPr>
          <w:p>
            <w:pPr>
              <w:pStyle w:val="Normal"/>
              <w:rPr/>
            </w:pPr>
            <w:r>
              <w:rPr/>
            </w:r>
          </w:p>
        </w:tc>
        <w:tc>
          <w:tcPr>
            <w:tcW w:w="1402" w:type="dxa"/>
            <w:tcBorders>
              <w:bottom w:val="single" w:sz="4" w:space="0" w:color="000000"/>
              <w:right w:val="single" w:sz="4" w:space="0" w:color="000000"/>
            </w:tcBorders>
            <w:shd w:color="auto" w:fill="auto" w:val="clear"/>
          </w:tcPr>
          <w:p>
            <w:pPr>
              <w:pStyle w:val="Normal"/>
              <w:rPr/>
            </w:pPr>
            <w:r>
              <w:rPr/>
              <w:t>федеральный бюджет</w:t>
            </w:r>
          </w:p>
        </w:tc>
        <w:tc>
          <w:tcPr>
            <w:tcW w:w="535" w:type="dxa"/>
            <w:vMerge w:val="restart"/>
            <w:tcBorders>
              <w:left w:val="single" w:sz="4" w:space="0" w:color="000000"/>
              <w:bottom w:val="single" w:sz="4" w:space="0" w:color="000000"/>
              <w:right w:val="single" w:sz="4" w:space="0" w:color="000000"/>
            </w:tcBorders>
            <w:shd w:color="auto" w:fill="auto" w:val="clear"/>
          </w:tcPr>
          <w:p>
            <w:pPr>
              <w:pStyle w:val="Normal"/>
              <w:rPr/>
            </w:pPr>
            <w:r>
              <w:rPr/>
              <w:t>имеется</w:t>
            </w:r>
          </w:p>
        </w:tc>
      </w:tr>
      <w:tr>
        <w:trPr>
          <w:trHeight w:val="270" w:hRule="atLeast"/>
        </w:trPr>
        <w:tc>
          <w:tcPr>
            <w:tcW w:w="961" w:type="dxa"/>
            <w:vMerge w:val="continue"/>
            <w:tcBorders>
              <w:left w:val="single" w:sz="4" w:space="0" w:color="000000"/>
              <w:right w:val="single" w:sz="4" w:space="0" w:color="000000"/>
            </w:tcBorders>
          </w:tcPr>
          <w:p>
            <w:pPr>
              <w:pStyle w:val="Normal"/>
              <w:jc w:val="center"/>
              <w:rPr>
                <w:bCs/>
              </w:rPr>
            </w:pPr>
            <w:r>
              <w:rPr>
                <w:bCs/>
              </w:rPr>
            </w:r>
          </w:p>
        </w:tc>
        <w:tc>
          <w:tcPr>
            <w:tcW w:w="1437" w:type="dxa"/>
            <w:vMerge w:val="continue"/>
            <w:tcBorders>
              <w:left w:val="single" w:sz="4" w:space="0" w:color="000000"/>
              <w:right w:val="single" w:sz="4" w:space="0" w:color="000000"/>
            </w:tcBorders>
          </w:tcPr>
          <w:p>
            <w:pPr>
              <w:pStyle w:val="Normal"/>
              <w:rPr/>
            </w:pPr>
            <w:r>
              <w:rPr/>
            </w:r>
          </w:p>
        </w:tc>
        <w:tc>
          <w:tcPr>
            <w:tcW w:w="1200" w:type="dxa"/>
            <w:vMerge w:val="continue"/>
            <w:tcBorders>
              <w:left w:val="single" w:sz="4" w:space="0" w:color="000000"/>
              <w:right w:val="single" w:sz="4" w:space="0" w:color="000000"/>
            </w:tcBorders>
            <w:vAlign w:val="center"/>
          </w:tcPr>
          <w:p>
            <w:pPr>
              <w:pStyle w:val="Normal"/>
              <w:jc w:val="center"/>
              <w:rPr/>
            </w:pPr>
            <w:r>
              <w:rPr/>
            </w:r>
          </w:p>
        </w:tc>
        <w:tc>
          <w:tcPr>
            <w:tcW w:w="1292" w:type="dxa"/>
            <w:vMerge w:val="continue"/>
            <w:tcBorders>
              <w:left w:val="single" w:sz="4" w:space="0" w:color="000000"/>
              <w:right w:val="single" w:sz="4" w:space="0" w:color="000000"/>
            </w:tcBorders>
            <w:vAlign w:val="center"/>
          </w:tcPr>
          <w:p>
            <w:pPr>
              <w:pStyle w:val="Normal"/>
              <w:jc w:val="center"/>
              <w:rPr/>
            </w:pPr>
            <w:r>
              <w:rPr/>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11043,4</w:t>
            </w:r>
          </w:p>
        </w:tc>
        <w:tc>
          <w:tcPr>
            <w:tcW w:w="663" w:type="dxa"/>
            <w:tcBorders>
              <w:bottom w:val="single" w:sz="4" w:space="0" w:color="000000"/>
              <w:right w:val="single" w:sz="4" w:space="0" w:color="000000"/>
            </w:tcBorders>
            <w:shd w:color="auto" w:fill="auto" w:val="clear"/>
            <w:vAlign w:val="center"/>
          </w:tcPr>
          <w:p>
            <w:pPr>
              <w:pStyle w:val="Normal"/>
              <w:jc w:val="center"/>
              <w:rPr/>
            </w:pPr>
            <w:r>
              <w:rPr/>
            </w:r>
          </w:p>
          <w:p>
            <w:pPr>
              <w:pStyle w:val="Normal"/>
              <w:jc w:val="center"/>
              <w:rPr/>
            </w:pPr>
            <w:r>
              <w:rPr/>
            </w:r>
          </w:p>
          <w:p>
            <w:pPr>
              <w:pStyle w:val="Normal"/>
              <w:jc w:val="center"/>
              <w:rPr/>
            </w:pPr>
            <w:r>
              <w:rPr/>
            </w:r>
          </w:p>
        </w:tc>
        <w:tc>
          <w:tcPr>
            <w:tcW w:w="928" w:type="dxa"/>
            <w:tcBorders>
              <w:bottom w:val="single" w:sz="4" w:space="0" w:color="000000"/>
              <w:right w:val="single" w:sz="4" w:space="0" w:color="000000"/>
            </w:tcBorders>
            <w:shd w:color="auto" w:fill="auto" w:val="clear"/>
          </w:tcPr>
          <w:p>
            <w:pPr>
              <w:pStyle w:val="Normal"/>
              <w:rPr/>
            </w:pPr>
            <w:r>
              <w:rPr/>
            </w:r>
          </w:p>
        </w:tc>
        <w:tc>
          <w:tcPr>
            <w:tcW w:w="1135" w:type="dxa"/>
            <w:tcBorders>
              <w:bottom w:val="single" w:sz="4" w:space="0" w:color="000000"/>
              <w:right w:val="single" w:sz="4" w:space="0" w:color="000000"/>
            </w:tcBorders>
            <w:shd w:color="auto" w:fill="auto" w:val="clear"/>
            <w:vAlign w:val="center"/>
          </w:tcPr>
          <w:p>
            <w:pPr>
              <w:pStyle w:val="Normal"/>
              <w:jc w:val="center"/>
              <w:rPr/>
            </w:pPr>
            <w:r>
              <w:rPr/>
            </w:r>
          </w:p>
        </w:tc>
        <w:tc>
          <w:tcPr>
            <w:tcW w:w="876" w:type="dxa"/>
            <w:tcBorders>
              <w:bottom w:val="single" w:sz="4" w:space="0" w:color="000000"/>
              <w:right w:val="single" w:sz="4" w:space="0" w:color="000000"/>
            </w:tcBorders>
            <w:shd w:color="auto" w:fill="auto" w:val="clear"/>
            <w:vAlign w:val="center"/>
          </w:tcPr>
          <w:p>
            <w:pPr>
              <w:pStyle w:val="Normal"/>
              <w:jc w:val="center"/>
              <w:rPr/>
            </w:pPr>
            <w:r>
              <w:rPr/>
            </w:r>
          </w:p>
        </w:tc>
        <w:tc>
          <w:tcPr>
            <w:tcW w:w="662" w:type="dxa"/>
            <w:tcBorders>
              <w:bottom w:val="single" w:sz="4" w:space="0" w:color="000000"/>
              <w:right w:val="single" w:sz="4" w:space="0" w:color="000000"/>
            </w:tcBorders>
            <w:shd w:color="auto" w:fill="auto" w:val="clear"/>
          </w:tcPr>
          <w:p>
            <w:pPr>
              <w:pStyle w:val="Normal"/>
              <w:rPr/>
            </w:pPr>
            <w:r>
              <w:rPr/>
            </w:r>
          </w:p>
        </w:tc>
        <w:tc>
          <w:tcPr>
            <w:tcW w:w="1060" w:type="dxa"/>
            <w:tcBorders>
              <w:bottom w:val="single" w:sz="4" w:space="0" w:color="000000"/>
              <w:right w:val="single" w:sz="4" w:space="0" w:color="000000"/>
            </w:tcBorders>
            <w:shd w:color="auto" w:fill="auto" w:val="clear"/>
          </w:tcPr>
          <w:p>
            <w:pPr>
              <w:pStyle w:val="Normal"/>
              <w:rPr/>
            </w:pPr>
            <w:r>
              <w:rPr/>
            </w:r>
          </w:p>
        </w:tc>
        <w:tc>
          <w:tcPr>
            <w:tcW w:w="664" w:type="dxa"/>
            <w:tcBorders>
              <w:bottom w:val="single" w:sz="4" w:space="0" w:color="000000"/>
              <w:right w:val="single" w:sz="4" w:space="0" w:color="000000"/>
            </w:tcBorders>
            <w:shd w:color="auto" w:fill="auto" w:val="clear"/>
          </w:tcPr>
          <w:p>
            <w:pPr>
              <w:pStyle w:val="Normal"/>
              <w:rPr/>
            </w:pPr>
            <w:r>
              <w:rPr/>
            </w:r>
          </w:p>
        </w:tc>
        <w:tc>
          <w:tcPr>
            <w:tcW w:w="955" w:type="dxa"/>
            <w:tcBorders>
              <w:bottom w:val="single" w:sz="4" w:space="0" w:color="000000"/>
              <w:right w:val="single" w:sz="4" w:space="0" w:color="000000"/>
            </w:tcBorders>
            <w:shd w:color="auto" w:fill="auto" w:val="clear"/>
          </w:tcPr>
          <w:p>
            <w:pPr>
              <w:pStyle w:val="Normal"/>
              <w:rPr/>
            </w:pPr>
            <w:r>
              <w:rPr/>
            </w:r>
          </w:p>
        </w:tc>
        <w:tc>
          <w:tcPr>
            <w:tcW w:w="1195" w:type="dxa"/>
            <w:tcBorders>
              <w:bottom w:val="single" w:sz="4" w:space="0" w:color="000000"/>
              <w:right w:val="single" w:sz="4" w:space="0" w:color="000000"/>
            </w:tcBorders>
            <w:shd w:color="auto" w:fill="auto" w:val="clear"/>
          </w:tcPr>
          <w:p>
            <w:pPr>
              <w:pStyle w:val="Normal"/>
              <w:rPr/>
            </w:pPr>
            <w:r>
              <w:rPr/>
              <w:t>22716,4</w:t>
            </w:r>
          </w:p>
        </w:tc>
        <w:tc>
          <w:tcPr>
            <w:tcW w:w="1402" w:type="dxa"/>
            <w:tcBorders>
              <w:bottom w:val="single" w:sz="4" w:space="0" w:color="000000"/>
              <w:right w:val="single" w:sz="4" w:space="0" w:color="000000"/>
            </w:tcBorders>
            <w:shd w:color="auto" w:fill="auto" w:val="clear"/>
          </w:tcPr>
          <w:p>
            <w:pPr>
              <w:pStyle w:val="Normal"/>
              <w:rPr/>
            </w:pPr>
            <w:r>
              <w:rPr/>
              <w:t>областной  бюджет</w:t>
            </w:r>
          </w:p>
        </w:tc>
        <w:tc>
          <w:tcPr>
            <w:tcW w:w="535" w:type="dxa"/>
            <w:vMerge w:val="continue"/>
            <w:tcBorders>
              <w:left w:val="single" w:sz="4" w:space="0" w:color="000000"/>
              <w:right w:val="single" w:sz="4" w:space="0" w:color="000000"/>
            </w:tcBorders>
          </w:tcPr>
          <w:p>
            <w:pPr>
              <w:pStyle w:val="Normal"/>
              <w:rPr/>
            </w:pPr>
            <w:r>
              <w:rPr/>
            </w:r>
          </w:p>
        </w:tc>
      </w:tr>
      <w:tr>
        <w:trPr>
          <w:trHeight w:val="465" w:hRule="atLeast"/>
        </w:trPr>
        <w:tc>
          <w:tcPr>
            <w:tcW w:w="961" w:type="dxa"/>
            <w:vMerge w:val="continue"/>
            <w:tcBorders>
              <w:left w:val="single" w:sz="4" w:space="0" w:color="000000"/>
              <w:bottom w:val="single" w:sz="4" w:space="0" w:color="000000"/>
              <w:right w:val="single" w:sz="4" w:space="0" w:color="000000"/>
            </w:tcBorders>
          </w:tcPr>
          <w:p>
            <w:pPr>
              <w:pStyle w:val="Normal"/>
              <w:jc w:val="center"/>
              <w:rPr>
                <w:bCs/>
              </w:rPr>
            </w:pPr>
            <w:r>
              <w:rPr>
                <w:bCs/>
              </w:rPr>
            </w:r>
          </w:p>
        </w:tc>
        <w:tc>
          <w:tcPr>
            <w:tcW w:w="1437" w:type="dxa"/>
            <w:vMerge w:val="continue"/>
            <w:tcBorders>
              <w:left w:val="single" w:sz="4" w:space="0" w:color="000000"/>
              <w:bottom w:val="single" w:sz="4" w:space="0" w:color="000000"/>
              <w:right w:val="single" w:sz="4" w:space="0" w:color="000000"/>
            </w:tcBorders>
          </w:tcPr>
          <w:p>
            <w:pPr>
              <w:pStyle w:val="Normal"/>
              <w:rPr/>
            </w:pPr>
            <w:r>
              <w:rPr/>
            </w:r>
          </w:p>
        </w:tc>
        <w:tc>
          <w:tcPr>
            <w:tcW w:w="1200" w:type="dxa"/>
            <w:vMerge w:val="continue"/>
            <w:tcBorders>
              <w:left w:val="single" w:sz="4" w:space="0" w:color="000000"/>
              <w:bottom w:val="single" w:sz="4" w:space="0" w:color="000000"/>
              <w:right w:val="single" w:sz="4" w:space="0" w:color="000000"/>
            </w:tcBorders>
            <w:vAlign w:val="center"/>
          </w:tcPr>
          <w:p>
            <w:pPr>
              <w:pStyle w:val="Normal"/>
              <w:jc w:val="center"/>
              <w:rPr/>
            </w:pPr>
            <w:r>
              <w:rPr/>
            </w:r>
          </w:p>
        </w:tc>
        <w:tc>
          <w:tcPr>
            <w:tcW w:w="1292" w:type="dxa"/>
            <w:vMerge w:val="continue"/>
            <w:tcBorders>
              <w:left w:val="single" w:sz="4" w:space="0" w:color="000000"/>
              <w:bottom w:val="single" w:sz="4" w:space="0" w:color="000000"/>
              <w:right w:val="single" w:sz="4" w:space="0" w:color="000000"/>
            </w:tcBorders>
            <w:vAlign w:val="center"/>
          </w:tcPr>
          <w:p>
            <w:pPr>
              <w:pStyle w:val="Normal"/>
              <w:jc w:val="center"/>
              <w:rPr/>
            </w:pPr>
            <w:r>
              <w:rPr/>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t>1888,0</w:t>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tcPr>
          <w:p>
            <w:pPr>
              <w:pStyle w:val="Normal"/>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t>3883,6</w:t>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местный</w:t>
            </w:r>
          </w:p>
          <w:p>
            <w:pPr>
              <w:pStyle w:val="Normal"/>
              <w:rPr/>
            </w:pPr>
            <w:r>
              <w:rPr/>
              <w:t>бюджет</w:t>
            </w:r>
          </w:p>
        </w:tc>
        <w:tc>
          <w:tcPr>
            <w:tcW w:w="535" w:type="dxa"/>
            <w:vMerge w:val="continue"/>
            <w:tcBorders>
              <w:left w:val="single" w:sz="4" w:space="0" w:color="000000"/>
              <w:bottom w:val="single" w:sz="4" w:space="0" w:color="000000"/>
              <w:right w:val="single" w:sz="4" w:space="0" w:color="000000"/>
            </w:tcBorders>
          </w:tcPr>
          <w:p>
            <w:pPr>
              <w:pStyle w:val="Normal"/>
              <w:rPr/>
            </w:pPr>
            <w:r>
              <w:rPr/>
            </w:r>
          </w:p>
        </w:tc>
      </w:tr>
      <w:tr>
        <w:trPr>
          <w:trHeight w:val="330" w:hRule="atLeast"/>
        </w:trPr>
        <w:tc>
          <w:tcPr>
            <w:tcW w:w="961" w:type="dxa"/>
            <w:vMerge w:val="restart"/>
            <w:tcBorders>
              <w:left w:val="single" w:sz="4" w:space="0" w:color="000000"/>
              <w:bottom w:val="single" w:sz="4" w:space="0" w:color="000000"/>
              <w:right w:val="single" w:sz="4" w:space="0" w:color="000000"/>
            </w:tcBorders>
            <w:shd w:color="auto" w:fill="auto" w:val="clear"/>
          </w:tcPr>
          <w:p>
            <w:pPr>
              <w:pStyle w:val="Normal"/>
              <w:jc w:val="center"/>
              <w:rPr>
                <w:bCs/>
              </w:rPr>
            </w:pPr>
            <w:r>
              <w:rPr>
                <w:bCs/>
              </w:rPr>
              <w:t>3.2.</w:t>
            </w:r>
          </w:p>
        </w:tc>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Реконструкция внутрипоселковых разводящих водопроводных сетей х. Молаканский</w:t>
            </w:r>
          </w:p>
        </w:tc>
        <w:tc>
          <w:tcPr>
            <w:tcW w:w="1200"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pPr>
            <w:r>
              <w:rPr/>
              <w:t>8,53</w:t>
            </w:r>
          </w:p>
        </w:tc>
        <w:tc>
          <w:tcPr>
            <w:tcW w:w="1292" w:type="dxa"/>
            <w:vMerge w:val="restart"/>
            <w:tcBorders>
              <w:left w:val="single" w:sz="4" w:space="0" w:color="000000"/>
              <w:bottom w:val="single" w:sz="4" w:space="0" w:color="000000"/>
              <w:right w:val="single" w:sz="4" w:space="0" w:color="000000"/>
            </w:tcBorders>
            <w:shd w:color="auto" w:fill="auto" w:val="clear"/>
            <w:vAlign w:val="center"/>
          </w:tcPr>
          <w:p>
            <w:pPr>
              <w:pStyle w:val="Normal"/>
              <w:jc w:val="center"/>
              <w:rPr/>
            </w:pPr>
            <w:r>
              <w:rPr/>
              <w:t>53154,8</w:t>
            </w:r>
          </w:p>
        </w:tc>
        <w:tc>
          <w:tcPr>
            <w:tcW w:w="1054" w:type="dxa"/>
            <w:tcBorders>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bottom w:val="single" w:sz="4" w:space="0" w:color="000000"/>
              <w:right w:val="single" w:sz="4" w:space="0" w:color="000000"/>
            </w:tcBorders>
            <w:shd w:color="auto" w:fill="auto" w:val="clear"/>
            <w:vAlign w:val="center"/>
          </w:tcPr>
          <w:p>
            <w:pPr>
              <w:pStyle w:val="Normal"/>
              <w:jc w:val="center"/>
              <w:rPr/>
            </w:pPr>
            <w:r>
              <w:rPr/>
            </w:r>
          </w:p>
        </w:tc>
        <w:tc>
          <w:tcPr>
            <w:tcW w:w="928" w:type="dxa"/>
            <w:tcBorders>
              <w:bottom w:val="single" w:sz="4" w:space="0" w:color="000000"/>
              <w:right w:val="single" w:sz="4" w:space="0" w:color="000000"/>
            </w:tcBorders>
            <w:shd w:color="auto" w:fill="auto" w:val="clear"/>
            <w:vAlign w:val="center"/>
          </w:tcPr>
          <w:p>
            <w:pPr>
              <w:pStyle w:val="Normal"/>
              <w:jc w:val="center"/>
              <w:rPr/>
            </w:pPr>
            <w:r>
              <w:rPr/>
            </w:r>
          </w:p>
        </w:tc>
        <w:tc>
          <w:tcPr>
            <w:tcW w:w="1135" w:type="dxa"/>
            <w:tcBorders>
              <w:bottom w:val="single" w:sz="4" w:space="0" w:color="000000"/>
              <w:right w:val="single" w:sz="4" w:space="0" w:color="000000"/>
            </w:tcBorders>
            <w:shd w:color="auto" w:fill="auto" w:val="clear"/>
            <w:vAlign w:val="center"/>
          </w:tcPr>
          <w:p>
            <w:pPr>
              <w:pStyle w:val="Normal"/>
              <w:jc w:val="center"/>
              <w:rPr/>
            </w:pPr>
            <w:r>
              <w:rPr/>
            </w:r>
          </w:p>
        </w:tc>
        <w:tc>
          <w:tcPr>
            <w:tcW w:w="876" w:type="dxa"/>
            <w:tcBorders>
              <w:bottom w:val="single" w:sz="4" w:space="0" w:color="000000"/>
              <w:right w:val="single" w:sz="4" w:space="0" w:color="000000"/>
            </w:tcBorders>
            <w:shd w:color="auto" w:fill="auto" w:val="clear"/>
            <w:vAlign w:val="center"/>
          </w:tcPr>
          <w:p>
            <w:pPr>
              <w:pStyle w:val="Normal"/>
              <w:jc w:val="center"/>
              <w:rPr/>
            </w:pPr>
            <w:r>
              <w:rPr/>
            </w:r>
          </w:p>
        </w:tc>
        <w:tc>
          <w:tcPr>
            <w:tcW w:w="662" w:type="dxa"/>
            <w:tcBorders>
              <w:bottom w:val="single" w:sz="4" w:space="0" w:color="000000"/>
              <w:right w:val="single" w:sz="4" w:space="0" w:color="000000"/>
            </w:tcBorders>
            <w:shd w:color="auto" w:fill="auto" w:val="clear"/>
          </w:tcPr>
          <w:p>
            <w:pPr>
              <w:pStyle w:val="Normal"/>
              <w:rPr/>
            </w:pPr>
            <w:r>
              <w:rPr/>
            </w:r>
          </w:p>
        </w:tc>
        <w:tc>
          <w:tcPr>
            <w:tcW w:w="1060" w:type="dxa"/>
            <w:tcBorders>
              <w:bottom w:val="single" w:sz="4" w:space="0" w:color="000000"/>
              <w:right w:val="single" w:sz="4" w:space="0" w:color="000000"/>
            </w:tcBorders>
            <w:shd w:color="auto" w:fill="auto" w:val="clear"/>
          </w:tcPr>
          <w:p>
            <w:pPr>
              <w:pStyle w:val="Normal"/>
              <w:rPr/>
            </w:pPr>
            <w:r>
              <w:rPr/>
            </w:r>
          </w:p>
        </w:tc>
        <w:tc>
          <w:tcPr>
            <w:tcW w:w="664" w:type="dxa"/>
            <w:tcBorders>
              <w:bottom w:val="single" w:sz="4" w:space="0" w:color="000000"/>
              <w:right w:val="single" w:sz="4" w:space="0" w:color="000000"/>
            </w:tcBorders>
            <w:shd w:color="auto" w:fill="auto" w:val="clear"/>
          </w:tcPr>
          <w:p>
            <w:pPr>
              <w:pStyle w:val="Normal"/>
              <w:rPr/>
            </w:pPr>
            <w:r>
              <w:rPr/>
            </w:r>
          </w:p>
        </w:tc>
        <w:tc>
          <w:tcPr>
            <w:tcW w:w="955" w:type="dxa"/>
            <w:tcBorders>
              <w:bottom w:val="single" w:sz="4" w:space="0" w:color="000000"/>
              <w:right w:val="single" w:sz="4" w:space="0" w:color="000000"/>
            </w:tcBorders>
            <w:shd w:color="auto" w:fill="auto" w:val="clear"/>
          </w:tcPr>
          <w:p>
            <w:pPr>
              <w:pStyle w:val="Normal"/>
              <w:rPr/>
            </w:pPr>
            <w:r>
              <w:rPr/>
            </w:r>
          </w:p>
        </w:tc>
        <w:tc>
          <w:tcPr>
            <w:tcW w:w="1195" w:type="dxa"/>
            <w:tcBorders>
              <w:bottom w:val="single" w:sz="4" w:space="0" w:color="000000"/>
              <w:right w:val="single" w:sz="4" w:space="0" w:color="000000"/>
            </w:tcBorders>
            <w:shd w:color="auto" w:fill="auto" w:val="clear"/>
          </w:tcPr>
          <w:p>
            <w:pPr>
              <w:pStyle w:val="Normal"/>
              <w:rPr/>
            </w:pPr>
            <w:r>
              <w:rPr/>
            </w:r>
          </w:p>
        </w:tc>
        <w:tc>
          <w:tcPr>
            <w:tcW w:w="1402" w:type="dxa"/>
            <w:tcBorders>
              <w:bottom w:val="single" w:sz="4" w:space="0" w:color="000000"/>
              <w:right w:val="single" w:sz="4" w:space="0" w:color="000000"/>
            </w:tcBorders>
            <w:shd w:color="auto" w:fill="auto" w:val="clear"/>
          </w:tcPr>
          <w:p>
            <w:pPr>
              <w:pStyle w:val="Normal"/>
              <w:rPr/>
            </w:pPr>
            <w:r>
              <w:rPr/>
              <w:t>федеральный бюджет</w:t>
            </w:r>
          </w:p>
        </w:tc>
        <w:tc>
          <w:tcPr>
            <w:tcW w:w="535" w:type="dxa"/>
            <w:vMerge w:val="restart"/>
            <w:tcBorders>
              <w:left w:val="single" w:sz="4" w:space="0" w:color="000000"/>
              <w:bottom w:val="single" w:sz="4" w:space="0" w:color="000000"/>
              <w:right w:val="single" w:sz="4" w:space="0" w:color="000000"/>
            </w:tcBorders>
            <w:shd w:color="auto" w:fill="auto" w:val="clear"/>
          </w:tcPr>
          <w:p>
            <w:pPr>
              <w:pStyle w:val="Normal"/>
              <w:rPr/>
            </w:pPr>
            <w:r>
              <w:rPr/>
              <w:t>имеется</w:t>
            </w:r>
          </w:p>
        </w:tc>
      </w:tr>
      <w:tr>
        <w:trPr>
          <w:trHeight w:val="330" w:hRule="atLeast"/>
        </w:trPr>
        <w:tc>
          <w:tcPr>
            <w:tcW w:w="961" w:type="dxa"/>
            <w:vMerge w:val="continue"/>
            <w:tcBorders>
              <w:left w:val="single" w:sz="4" w:space="0" w:color="000000"/>
              <w:bottom w:val="single" w:sz="4" w:space="0" w:color="000000"/>
              <w:right w:val="single" w:sz="4" w:space="0" w:color="000000"/>
            </w:tcBorders>
          </w:tcPr>
          <w:p>
            <w:pPr>
              <w:pStyle w:val="Normal"/>
              <w:jc w:val="center"/>
              <w:rPr>
                <w:bCs/>
              </w:rPr>
            </w:pPr>
            <w:r>
              <w:rPr>
                <w:bCs/>
              </w:rPr>
            </w:r>
          </w:p>
        </w:tc>
        <w:tc>
          <w:tcPr>
            <w:tcW w:w="143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200" w:type="dxa"/>
            <w:vMerge w:val="continue"/>
            <w:tcBorders>
              <w:left w:val="single" w:sz="4" w:space="0" w:color="000000"/>
              <w:bottom w:val="single" w:sz="4" w:space="0" w:color="000000"/>
              <w:right w:val="single" w:sz="4" w:space="0" w:color="000000"/>
            </w:tcBorders>
            <w:vAlign w:val="center"/>
          </w:tcPr>
          <w:p>
            <w:pPr>
              <w:pStyle w:val="Normal"/>
              <w:jc w:val="center"/>
              <w:rPr/>
            </w:pPr>
            <w:r>
              <w:rPr/>
            </w:r>
          </w:p>
        </w:tc>
        <w:tc>
          <w:tcPr>
            <w:tcW w:w="1292" w:type="dxa"/>
            <w:vMerge w:val="continue"/>
            <w:tcBorders>
              <w:left w:val="single" w:sz="4" w:space="0" w:color="000000"/>
              <w:bottom w:val="single" w:sz="4" w:space="0" w:color="000000"/>
              <w:right w:val="single" w:sz="4" w:space="0" w:color="000000"/>
            </w:tcBorders>
            <w:vAlign w:val="center"/>
          </w:tcPr>
          <w:p>
            <w:pPr>
              <w:pStyle w:val="Normal"/>
              <w:jc w:val="center"/>
              <w:rPr/>
            </w:pPr>
            <w:r>
              <w:rPr/>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p>
            <w:pPr>
              <w:pStyle w:val="Normal"/>
              <w:jc w:val="center"/>
              <w:rPr/>
            </w:pPr>
            <w:r>
              <w:rPr/>
            </w:r>
          </w:p>
          <w:p>
            <w:pPr>
              <w:pStyle w:val="Normal"/>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t>1041,5</w:t>
            </w:r>
          </w:p>
        </w:tc>
        <w:tc>
          <w:tcPr>
            <w:tcW w:w="1135" w:type="dxa"/>
            <w:tcBorders>
              <w:bottom w:val="single" w:sz="4" w:space="0" w:color="000000"/>
              <w:right w:val="single" w:sz="4" w:space="0" w:color="000000"/>
            </w:tcBorders>
            <w:shd w:color="auto" w:fill="auto" w:val="clear"/>
            <w:vAlign w:val="center"/>
          </w:tcPr>
          <w:p>
            <w:pPr>
              <w:pStyle w:val="Normal"/>
              <w:jc w:val="center"/>
              <w:rPr/>
            </w:pPr>
            <w:r>
              <w:rPr/>
              <w:t>20841,3</w:t>
            </w:r>
          </w:p>
        </w:tc>
        <w:tc>
          <w:tcPr>
            <w:tcW w:w="876" w:type="dxa"/>
            <w:tcBorders>
              <w:bottom w:val="single" w:sz="4" w:space="0" w:color="000000"/>
              <w:right w:val="single" w:sz="4" w:space="0" w:color="000000"/>
            </w:tcBorders>
            <w:shd w:color="auto" w:fill="auto" w:val="clear"/>
            <w:vAlign w:val="center"/>
          </w:tcPr>
          <w:p>
            <w:pPr>
              <w:pStyle w:val="Normal"/>
              <w:jc w:val="center"/>
              <w:rPr/>
            </w:pPr>
            <w:r>
              <w:rPr/>
            </w:r>
          </w:p>
        </w:tc>
        <w:tc>
          <w:tcPr>
            <w:tcW w:w="662" w:type="dxa"/>
            <w:tcBorders>
              <w:bottom w:val="single" w:sz="4" w:space="0" w:color="000000"/>
              <w:right w:val="single" w:sz="4" w:space="0" w:color="000000"/>
            </w:tcBorders>
            <w:shd w:color="auto" w:fill="auto" w:val="clear"/>
          </w:tcPr>
          <w:p>
            <w:pPr>
              <w:pStyle w:val="Normal"/>
              <w:rPr/>
            </w:pPr>
            <w:r>
              <w:rPr/>
            </w:r>
          </w:p>
        </w:tc>
        <w:tc>
          <w:tcPr>
            <w:tcW w:w="1060" w:type="dxa"/>
            <w:tcBorders>
              <w:bottom w:val="single" w:sz="4" w:space="0" w:color="000000"/>
              <w:right w:val="single" w:sz="4" w:space="0" w:color="000000"/>
            </w:tcBorders>
            <w:shd w:color="auto" w:fill="auto" w:val="clear"/>
          </w:tcPr>
          <w:p>
            <w:pPr>
              <w:pStyle w:val="Normal"/>
              <w:rPr/>
            </w:pPr>
            <w:r>
              <w:rPr/>
            </w:r>
          </w:p>
        </w:tc>
        <w:tc>
          <w:tcPr>
            <w:tcW w:w="664" w:type="dxa"/>
            <w:tcBorders>
              <w:bottom w:val="single" w:sz="4" w:space="0" w:color="000000"/>
              <w:right w:val="single" w:sz="4" w:space="0" w:color="000000"/>
            </w:tcBorders>
            <w:shd w:color="auto" w:fill="auto" w:val="clear"/>
          </w:tcPr>
          <w:p>
            <w:pPr>
              <w:pStyle w:val="Normal"/>
              <w:rPr/>
            </w:pPr>
            <w:r>
              <w:rPr/>
            </w:r>
          </w:p>
        </w:tc>
        <w:tc>
          <w:tcPr>
            <w:tcW w:w="955" w:type="dxa"/>
            <w:tcBorders>
              <w:bottom w:val="single" w:sz="4" w:space="0" w:color="000000"/>
              <w:right w:val="single" w:sz="4" w:space="0" w:color="000000"/>
            </w:tcBorders>
            <w:shd w:color="auto" w:fill="auto" w:val="clear"/>
          </w:tcPr>
          <w:p>
            <w:pPr>
              <w:pStyle w:val="Normal"/>
              <w:rPr/>
            </w:pPr>
            <w:r>
              <w:rPr/>
            </w:r>
          </w:p>
        </w:tc>
        <w:tc>
          <w:tcPr>
            <w:tcW w:w="1195" w:type="dxa"/>
            <w:tcBorders>
              <w:bottom w:val="single" w:sz="4" w:space="0" w:color="000000"/>
              <w:right w:val="single" w:sz="4" w:space="0" w:color="000000"/>
            </w:tcBorders>
            <w:shd w:color="auto" w:fill="auto" w:val="clear"/>
          </w:tcPr>
          <w:p>
            <w:pPr>
              <w:pStyle w:val="Normal"/>
              <w:rPr/>
            </w:pPr>
            <w:r>
              <w:rPr/>
              <w:t>23511,3</w:t>
            </w:r>
          </w:p>
        </w:tc>
        <w:tc>
          <w:tcPr>
            <w:tcW w:w="1402" w:type="dxa"/>
            <w:tcBorders>
              <w:bottom w:val="single" w:sz="4" w:space="0" w:color="000000"/>
              <w:right w:val="single" w:sz="4" w:space="0" w:color="000000"/>
            </w:tcBorders>
            <w:shd w:color="auto" w:fill="auto" w:val="clear"/>
          </w:tcPr>
          <w:p>
            <w:pPr>
              <w:pStyle w:val="Normal"/>
              <w:rPr/>
            </w:pPr>
            <w:r>
              <w:rPr/>
              <w:t>областной  бюджет</w:t>
            </w:r>
          </w:p>
        </w:tc>
        <w:tc>
          <w:tcPr>
            <w:tcW w:w="535" w:type="dxa"/>
            <w:vMerge w:val="continue"/>
            <w:tcBorders>
              <w:left w:val="single" w:sz="4" w:space="0" w:color="000000"/>
              <w:bottom w:val="single" w:sz="4" w:space="0" w:color="000000"/>
              <w:right w:val="single" w:sz="4" w:space="0" w:color="000000"/>
            </w:tcBorders>
          </w:tcPr>
          <w:p>
            <w:pPr>
              <w:pStyle w:val="Normal"/>
              <w:rPr/>
            </w:pPr>
            <w:r>
              <w:rPr/>
            </w:r>
          </w:p>
        </w:tc>
      </w:tr>
      <w:tr>
        <w:trPr>
          <w:trHeight w:val="831" w:hRule="atLeast"/>
        </w:trPr>
        <w:tc>
          <w:tcPr>
            <w:tcW w:w="961" w:type="dxa"/>
            <w:vMerge w:val="continue"/>
            <w:tcBorders>
              <w:left w:val="single" w:sz="4" w:space="0" w:color="000000"/>
              <w:bottom w:val="single" w:sz="4" w:space="0" w:color="000000"/>
              <w:right w:val="single" w:sz="4" w:space="0" w:color="000000"/>
            </w:tcBorders>
          </w:tcPr>
          <w:p>
            <w:pPr>
              <w:pStyle w:val="Normal"/>
              <w:jc w:val="center"/>
              <w:rPr>
                <w:bCs/>
              </w:rPr>
            </w:pPr>
            <w:r>
              <w:rPr>
                <w:bCs/>
              </w:rPr>
            </w:r>
          </w:p>
        </w:tc>
        <w:tc>
          <w:tcPr>
            <w:tcW w:w="1437"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200" w:type="dxa"/>
            <w:vMerge w:val="continue"/>
            <w:tcBorders>
              <w:left w:val="single" w:sz="4" w:space="0" w:color="000000"/>
              <w:bottom w:val="single" w:sz="4" w:space="0" w:color="000000"/>
              <w:right w:val="single" w:sz="4" w:space="0" w:color="000000"/>
            </w:tcBorders>
            <w:vAlign w:val="center"/>
          </w:tcPr>
          <w:p>
            <w:pPr>
              <w:pStyle w:val="Normal"/>
              <w:jc w:val="center"/>
              <w:rPr/>
            </w:pPr>
            <w:r>
              <w:rPr/>
            </w:r>
          </w:p>
        </w:tc>
        <w:tc>
          <w:tcPr>
            <w:tcW w:w="1292" w:type="dxa"/>
            <w:vMerge w:val="continue"/>
            <w:tcBorders>
              <w:left w:val="single" w:sz="4" w:space="0" w:color="000000"/>
              <w:bottom w:val="single" w:sz="4" w:space="0" w:color="000000"/>
              <w:right w:val="single" w:sz="4" w:space="0" w:color="000000"/>
            </w:tcBorders>
            <w:vAlign w:val="center"/>
          </w:tcPr>
          <w:p>
            <w:pPr>
              <w:pStyle w:val="Normal"/>
              <w:jc w:val="center"/>
              <w:rPr/>
            </w:pPr>
            <w:r>
              <w:rPr/>
            </w:r>
          </w:p>
        </w:tc>
        <w:tc>
          <w:tcPr>
            <w:tcW w:w="105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p>
            <w:pPr>
              <w:pStyle w:val="Normal"/>
              <w:jc w:val="center"/>
              <w:rPr/>
            </w:pPr>
            <w:r>
              <w:rPr/>
            </w:r>
          </w:p>
          <w:p>
            <w:pPr>
              <w:pStyle w:val="Normal"/>
              <w:jc w:val="center"/>
              <w:rPr/>
            </w:pPr>
            <w:r>
              <w:rPr/>
            </w:r>
          </w:p>
          <w:p>
            <w:pPr>
              <w:pStyle w:val="Normal"/>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bottom w:val="single" w:sz="4" w:space="0" w:color="000000"/>
              <w:right w:val="single" w:sz="4" w:space="0" w:color="000000"/>
            </w:tcBorders>
            <w:shd w:color="auto" w:fill="auto" w:val="clear"/>
            <w:vAlign w:val="center"/>
          </w:tcPr>
          <w:p>
            <w:pPr>
              <w:pStyle w:val="Normal"/>
              <w:jc w:val="center"/>
              <w:rPr/>
            </w:pPr>
            <w:r>
              <w:rPr/>
              <w:t>178,1</w:t>
            </w:r>
          </w:p>
        </w:tc>
        <w:tc>
          <w:tcPr>
            <w:tcW w:w="1135" w:type="dxa"/>
            <w:tcBorders>
              <w:bottom w:val="single" w:sz="4" w:space="0" w:color="000000"/>
              <w:right w:val="single" w:sz="4" w:space="0" w:color="000000"/>
            </w:tcBorders>
            <w:shd w:color="auto" w:fill="auto" w:val="clear"/>
            <w:vAlign w:val="center"/>
          </w:tcPr>
          <w:p>
            <w:pPr>
              <w:pStyle w:val="Normal"/>
              <w:jc w:val="center"/>
              <w:rPr/>
            </w:pPr>
            <w:r>
              <w:rPr/>
              <w:t>3563,1</w:t>
            </w:r>
          </w:p>
        </w:tc>
        <w:tc>
          <w:tcPr>
            <w:tcW w:w="876" w:type="dxa"/>
            <w:tcBorders>
              <w:bottom w:val="single" w:sz="4" w:space="0" w:color="000000"/>
              <w:right w:val="single" w:sz="4" w:space="0" w:color="000000"/>
            </w:tcBorders>
            <w:shd w:color="auto" w:fill="auto" w:val="clear"/>
            <w:vAlign w:val="center"/>
          </w:tcPr>
          <w:p>
            <w:pPr>
              <w:pStyle w:val="Normal"/>
              <w:jc w:val="center"/>
              <w:rPr/>
            </w:pPr>
            <w:r>
              <w:rPr/>
            </w:r>
          </w:p>
        </w:tc>
        <w:tc>
          <w:tcPr>
            <w:tcW w:w="662" w:type="dxa"/>
            <w:tcBorders>
              <w:bottom w:val="single" w:sz="4" w:space="0" w:color="000000"/>
              <w:right w:val="single" w:sz="4" w:space="0" w:color="000000"/>
            </w:tcBorders>
            <w:shd w:color="auto" w:fill="auto" w:val="clear"/>
          </w:tcPr>
          <w:p>
            <w:pPr>
              <w:pStyle w:val="Normal"/>
              <w:rPr/>
            </w:pPr>
            <w:r>
              <w:rPr/>
            </w:r>
          </w:p>
        </w:tc>
        <w:tc>
          <w:tcPr>
            <w:tcW w:w="1060" w:type="dxa"/>
            <w:tcBorders>
              <w:bottom w:val="single" w:sz="4" w:space="0" w:color="000000"/>
              <w:right w:val="single" w:sz="4" w:space="0" w:color="000000"/>
            </w:tcBorders>
            <w:shd w:color="auto" w:fill="auto" w:val="clear"/>
          </w:tcPr>
          <w:p>
            <w:pPr>
              <w:pStyle w:val="Normal"/>
              <w:rPr/>
            </w:pPr>
            <w:r>
              <w:rPr/>
            </w:r>
          </w:p>
        </w:tc>
        <w:tc>
          <w:tcPr>
            <w:tcW w:w="664" w:type="dxa"/>
            <w:tcBorders>
              <w:bottom w:val="single" w:sz="4" w:space="0" w:color="000000"/>
              <w:right w:val="single" w:sz="4" w:space="0" w:color="000000"/>
            </w:tcBorders>
            <w:shd w:color="auto" w:fill="auto" w:val="clear"/>
          </w:tcPr>
          <w:p>
            <w:pPr>
              <w:pStyle w:val="Normal"/>
              <w:rPr/>
            </w:pPr>
            <w:r>
              <w:rPr/>
            </w:r>
          </w:p>
        </w:tc>
        <w:tc>
          <w:tcPr>
            <w:tcW w:w="955" w:type="dxa"/>
            <w:tcBorders>
              <w:bottom w:val="single" w:sz="4" w:space="0" w:color="000000"/>
              <w:right w:val="single" w:sz="4" w:space="0" w:color="000000"/>
            </w:tcBorders>
            <w:shd w:color="auto" w:fill="auto" w:val="clear"/>
          </w:tcPr>
          <w:p>
            <w:pPr>
              <w:pStyle w:val="Normal"/>
              <w:rPr/>
            </w:pPr>
            <w:r>
              <w:rPr/>
            </w:r>
          </w:p>
        </w:tc>
        <w:tc>
          <w:tcPr>
            <w:tcW w:w="1195" w:type="dxa"/>
            <w:tcBorders>
              <w:bottom w:val="single" w:sz="4" w:space="0" w:color="000000"/>
              <w:right w:val="single" w:sz="4" w:space="0" w:color="000000"/>
            </w:tcBorders>
            <w:shd w:color="auto" w:fill="auto" w:val="clear"/>
          </w:tcPr>
          <w:p>
            <w:pPr>
              <w:pStyle w:val="Normal"/>
              <w:rPr/>
            </w:pPr>
            <w:r>
              <w:rPr/>
              <w:t>4019,5</w:t>
            </w:r>
          </w:p>
        </w:tc>
        <w:tc>
          <w:tcPr>
            <w:tcW w:w="1402" w:type="dxa"/>
            <w:tcBorders>
              <w:bottom w:val="single" w:sz="4" w:space="0" w:color="000000"/>
              <w:right w:val="single" w:sz="4" w:space="0" w:color="000000"/>
            </w:tcBorders>
            <w:shd w:color="auto" w:fill="auto" w:val="clear"/>
          </w:tcPr>
          <w:p>
            <w:pPr>
              <w:pStyle w:val="Normal"/>
              <w:rPr/>
            </w:pPr>
            <w:r>
              <w:rPr/>
              <w:t>местный</w:t>
            </w:r>
          </w:p>
          <w:p>
            <w:pPr>
              <w:pStyle w:val="Normal"/>
              <w:rPr/>
            </w:pPr>
            <w:r>
              <w:rPr/>
              <w:t>бюджет</w:t>
            </w:r>
          </w:p>
        </w:tc>
        <w:tc>
          <w:tcPr>
            <w:tcW w:w="535" w:type="dxa"/>
            <w:vMerge w:val="continue"/>
            <w:tcBorders>
              <w:left w:val="single" w:sz="4" w:space="0" w:color="000000"/>
              <w:bottom w:val="single" w:sz="4" w:space="0" w:color="000000"/>
              <w:right w:val="single" w:sz="4" w:space="0" w:color="000000"/>
            </w:tcBorders>
          </w:tcPr>
          <w:p>
            <w:pPr>
              <w:pStyle w:val="Normal"/>
              <w:rPr/>
            </w:pPr>
            <w:r>
              <w:rPr/>
            </w:r>
          </w:p>
        </w:tc>
      </w:tr>
      <w:tr>
        <w:trPr>
          <w:trHeight w:val="885" w:hRule="atLeast"/>
        </w:trPr>
        <w:tc>
          <w:tcPr>
            <w:tcW w:w="961" w:type="dxa"/>
            <w:vMerge w:val="restart"/>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restart"/>
            <w:tcBorders>
              <w:top w:val="single" w:sz="4" w:space="0" w:color="000000"/>
              <w:right w:val="single" w:sz="4" w:space="0" w:color="000000"/>
            </w:tcBorders>
            <w:shd w:color="auto" w:fill="auto" w:val="clear"/>
          </w:tcPr>
          <w:p>
            <w:pPr>
              <w:pStyle w:val="Normal"/>
              <w:rPr>
                <w:bCs/>
              </w:rPr>
            </w:pPr>
            <w:r>
              <w:rPr/>
              <w:t xml:space="preserve">Разработка проектно-сметной документации на  </w:t>
            </w:r>
            <w:r>
              <w:rPr>
                <w:bCs/>
              </w:rPr>
              <w:t>строительство</w:t>
            </w:r>
            <w:r>
              <w:rPr/>
              <w:t xml:space="preserve"> внутрипоселковых разводящих водопроводных сетей</w:t>
            </w:r>
            <w:r>
              <w:rPr>
                <w:bCs/>
              </w:rPr>
              <w:t xml:space="preserve"> х. Долотинка</w:t>
            </w:r>
          </w:p>
        </w:tc>
        <w:tc>
          <w:tcPr>
            <w:tcW w:w="1200" w:type="dxa"/>
            <w:vMerge w:val="restart"/>
            <w:tcBorders>
              <w:right w:val="single" w:sz="4" w:space="0" w:color="000000"/>
            </w:tcBorders>
            <w:shd w:color="auto" w:fill="auto" w:val="clear"/>
            <w:vAlign w:val="center"/>
          </w:tcPr>
          <w:p>
            <w:pPr>
              <w:pStyle w:val="Normal"/>
              <w:jc w:val="center"/>
              <w:rPr/>
            </w:pPr>
            <w:r>
              <w:rPr/>
              <w:t>14,0</w:t>
            </w:r>
          </w:p>
        </w:tc>
        <w:tc>
          <w:tcPr>
            <w:tcW w:w="1292" w:type="dxa"/>
            <w:vMerge w:val="restart"/>
            <w:tcBorders>
              <w:right w:val="single" w:sz="4" w:space="0" w:color="000000"/>
            </w:tcBorders>
            <w:shd w:color="auto" w:fill="auto" w:val="clear"/>
            <w:vAlign w:val="center"/>
          </w:tcPr>
          <w:p>
            <w:pPr>
              <w:pStyle w:val="Normal"/>
              <w:jc w:val="center"/>
              <w:rPr/>
            </w:pPr>
            <w:r>
              <w:rPr/>
              <w:t>563,34</w:t>
            </w:r>
          </w:p>
        </w:tc>
        <w:tc>
          <w:tcPr>
            <w:tcW w:w="1054" w:type="dxa"/>
            <w:tcBorders>
              <w:bottom w:val="single" w:sz="4" w:space="0" w:color="000000"/>
              <w:right w:val="single" w:sz="4" w:space="0" w:color="000000"/>
            </w:tcBorders>
            <w:shd w:color="auto" w:fill="auto" w:val="clear"/>
            <w:vAlign w:val="center"/>
          </w:tcPr>
          <w:p>
            <w:pPr>
              <w:pStyle w:val="Normal"/>
              <w:jc w:val="center"/>
              <w:rPr/>
            </w:pPr>
            <w:r>
              <w:rPr/>
            </w:r>
          </w:p>
        </w:tc>
        <w:tc>
          <w:tcPr>
            <w:tcW w:w="663" w:type="dxa"/>
            <w:tcBorders>
              <w:bottom w:val="single" w:sz="4" w:space="0" w:color="000000"/>
              <w:right w:val="single" w:sz="4" w:space="0" w:color="000000"/>
            </w:tcBorders>
            <w:shd w:color="auto" w:fill="auto" w:val="clear"/>
            <w:vAlign w:val="center"/>
          </w:tcPr>
          <w:p>
            <w:pPr>
              <w:pStyle w:val="Normal"/>
              <w:jc w:val="center"/>
              <w:rPr/>
            </w:pPr>
            <w:r>
              <w:rPr/>
            </w:r>
          </w:p>
        </w:tc>
        <w:tc>
          <w:tcPr>
            <w:tcW w:w="928" w:type="dxa"/>
            <w:tcBorders>
              <w:bottom w:val="single" w:sz="4" w:space="0" w:color="000000"/>
              <w:right w:val="single" w:sz="4" w:space="0" w:color="000000"/>
            </w:tcBorders>
            <w:shd w:color="auto" w:fill="auto" w:val="clear"/>
            <w:vAlign w:val="center"/>
          </w:tcPr>
          <w:p>
            <w:pPr>
              <w:pStyle w:val="Normal"/>
              <w:jc w:val="center"/>
              <w:rPr/>
            </w:pPr>
            <w:r>
              <w:rPr/>
            </w:r>
          </w:p>
        </w:tc>
        <w:tc>
          <w:tcPr>
            <w:tcW w:w="1135" w:type="dxa"/>
            <w:tcBorders>
              <w:bottom w:val="single" w:sz="4" w:space="0" w:color="000000"/>
              <w:right w:val="single" w:sz="4" w:space="0" w:color="000000"/>
            </w:tcBorders>
            <w:shd w:color="auto" w:fill="auto" w:val="clear"/>
            <w:vAlign w:val="center"/>
          </w:tcPr>
          <w:p>
            <w:pPr>
              <w:pStyle w:val="Normal"/>
              <w:jc w:val="center"/>
              <w:rPr/>
            </w:pPr>
            <w:r>
              <w:rPr/>
            </w:r>
          </w:p>
        </w:tc>
        <w:tc>
          <w:tcPr>
            <w:tcW w:w="876" w:type="dxa"/>
            <w:tcBorders>
              <w:bottom w:val="single" w:sz="4" w:space="0" w:color="000000"/>
              <w:right w:val="single" w:sz="4" w:space="0" w:color="000000"/>
            </w:tcBorders>
            <w:shd w:color="auto" w:fill="auto" w:val="clear"/>
            <w:vAlign w:val="center"/>
          </w:tcPr>
          <w:p>
            <w:pPr>
              <w:pStyle w:val="Normal"/>
              <w:jc w:val="center"/>
              <w:rPr/>
            </w:pPr>
            <w:r>
              <w:rPr/>
            </w:r>
          </w:p>
        </w:tc>
        <w:tc>
          <w:tcPr>
            <w:tcW w:w="662" w:type="dxa"/>
            <w:tcBorders>
              <w:bottom w:val="single" w:sz="4" w:space="0" w:color="000000"/>
              <w:right w:val="single" w:sz="4" w:space="0" w:color="000000"/>
            </w:tcBorders>
            <w:shd w:color="auto" w:fill="auto" w:val="clear"/>
          </w:tcPr>
          <w:p>
            <w:pPr>
              <w:pStyle w:val="Normal"/>
              <w:rPr/>
            </w:pPr>
            <w:r>
              <w:rPr/>
            </w:r>
          </w:p>
        </w:tc>
        <w:tc>
          <w:tcPr>
            <w:tcW w:w="1060" w:type="dxa"/>
            <w:tcBorders>
              <w:bottom w:val="single" w:sz="4" w:space="0" w:color="000000"/>
              <w:right w:val="single" w:sz="4" w:space="0" w:color="000000"/>
            </w:tcBorders>
            <w:shd w:color="auto" w:fill="auto" w:val="clear"/>
          </w:tcPr>
          <w:p>
            <w:pPr>
              <w:pStyle w:val="Normal"/>
              <w:rPr/>
            </w:pPr>
            <w:r>
              <w:rPr/>
            </w:r>
          </w:p>
        </w:tc>
        <w:tc>
          <w:tcPr>
            <w:tcW w:w="664" w:type="dxa"/>
            <w:tcBorders>
              <w:bottom w:val="single" w:sz="4" w:space="0" w:color="000000"/>
              <w:right w:val="single" w:sz="4" w:space="0" w:color="000000"/>
            </w:tcBorders>
            <w:shd w:color="auto" w:fill="auto" w:val="clear"/>
          </w:tcPr>
          <w:p>
            <w:pPr>
              <w:pStyle w:val="Normal"/>
              <w:rPr/>
            </w:pPr>
            <w:r>
              <w:rPr/>
            </w:r>
          </w:p>
        </w:tc>
        <w:tc>
          <w:tcPr>
            <w:tcW w:w="955" w:type="dxa"/>
            <w:tcBorders>
              <w:bottom w:val="single" w:sz="4" w:space="0" w:color="000000"/>
              <w:right w:val="single" w:sz="4" w:space="0" w:color="000000"/>
            </w:tcBorders>
            <w:shd w:color="auto" w:fill="auto" w:val="clear"/>
          </w:tcPr>
          <w:p>
            <w:pPr>
              <w:pStyle w:val="Normal"/>
              <w:rPr/>
            </w:pPr>
            <w:r>
              <w:rPr/>
            </w:r>
          </w:p>
        </w:tc>
        <w:tc>
          <w:tcPr>
            <w:tcW w:w="1195" w:type="dxa"/>
            <w:tcBorders>
              <w:bottom w:val="single" w:sz="4" w:space="0" w:color="000000"/>
              <w:right w:val="single" w:sz="4" w:space="0" w:color="000000"/>
            </w:tcBorders>
            <w:shd w:color="auto" w:fill="auto" w:val="clear"/>
          </w:tcPr>
          <w:p>
            <w:pPr>
              <w:pStyle w:val="Normal"/>
              <w:rPr/>
            </w:pPr>
            <w:r>
              <w:rPr/>
            </w:r>
          </w:p>
        </w:tc>
        <w:tc>
          <w:tcPr>
            <w:tcW w:w="1402" w:type="dxa"/>
            <w:tcBorders>
              <w:bottom w:val="single" w:sz="4" w:space="0" w:color="000000"/>
              <w:right w:val="single" w:sz="4" w:space="0" w:color="000000"/>
            </w:tcBorders>
            <w:shd w:color="auto" w:fill="auto" w:val="clear"/>
          </w:tcPr>
          <w:p>
            <w:pPr>
              <w:pStyle w:val="Normal"/>
              <w:rPr/>
            </w:pPr>
            <w:r>
              <w:rPr/>
              <w:t>федеральный бюджет</w:t>
            </w:r>
          </w:p>
        </w:tc>
        <w:tc>
          <w:tcPr>
            <w:tcW w:w="535" w:type="dxa"/>
            <w:vMerge w:val="restart"/>
            <w:tcBorders>
              <w:bottom w:val="single" w:sz="4" w:space="0" w:color="000000"/>
              <w:right w:val="single" w:sz="4" w:space="0" w:color="000000"/>
            </w:tcBorders>
            <w:shd w:color="auto" w:fill="auto" w:val="clear"/>
          </w:tcPr>
          <w:p>
            <w:pPr>
              <w:pStyle w:val="Normal"/>
              <w:rPr/>
            </w:pPr>
            <w:r>
              <w:rPr/>
            </w:r>
          </w:p>
        </w:tc>
      </w:tr>
      <w:tr>
        <w:trPr>
          <w:trHeight w:val="870" w:hRule="atLeast"/>
        </w:trPr>
        <w:tc>
          <w:tcPr>
            <w:tcW w:w="961" w:type="dxa"/>
            <w:vMerge w:val="continue"/>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continue"/>
            <w:tcBorders>
              <w:right w:val="single" w:sz="4" w:space="0" w:color="000000"/>
            </w:tcBorders>
            <w:shd w:color="auto" w:fill="auto" w:val="clear"/>
          </w:tcPr>
          <w:p>
            <w:pPr>
              <w:pStyle w:val="Normal"/>
              <w:rPr/>
            </w:pPr>
            <w:r>
              <w:rPr/>
            </w:r>
          </w:p>
        </w:tc>
        <w:tc>
          <w:tcPr>
            <w:tcW w:w="1200" w:type="dxa"/>
            <w:vMerge w:val="continue"/>
            <w:tcBorders>
              <w:right w:val="single" w:sz="4" w:space="0" w:color="000000"/>
            </w:tcBorders>
            <w:shd w:color="auto" w:fill="auto" w:val="clear"/>
            <w:vAlign w:val="center"/>
          </w:tcPr>
          <w:p>
            <w:pPr>
              <w:pStyle w:val="Normal"/>
              <w:jc w:val="center"/>
              <w:rPr/>
            </w:pPr>
            <w:r>
              <w:rPr/>
            </w:r>
          </w:p>
        </w:tc>
        <w:tc>
          <w:tcPr>
            <w:tcW w:w="1292" w:type="dxa"/>
            <w:vMerge w:val="continue"/>
            <w:tcBorders>
              <w:right w:val="single" w:sz="4" w:space="0" w:color="000000"/>
            </w:tcBorders>
            <w:shd w:color="auto" w:fill="auto" w:val="clear"/>
            <w:vAlign w:val="center"/>
          </w:tcPr>
          <w:p>
            <w:pPr>
              <w:pStyle w:val="Normal"/>
              <w:jc w:val="center"/>
              <w:rPr/>
            </w:pPr>
            <w:r>
              <w:rPr/>
            </w:r>
          </w:p>
        </w:tc>
        <w:tc>
          <w:tcPr>
            <w:tcW w:w="1054"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t>470,9</w:t>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областной  бюджет</w:t>
            </w:r>
          </w:p>
        </w:tc>
        <w:tc>
          <w:tcPr>
            <w:tcW w:w="535" w:type="dxa"/>
            <w:vMerge w:val="continue"/>
            <w:tcBorders>
              <w:right w:val="single" w:sz="4" w:space="0" w:color="000000"/>
            </w:tcBorders>
            <w:shd w:color="auto" w:fill="auto" w:val="clear"/>
          </w:tcPr>
          <w:p>
            <w:pPr>
              <w:pStyle w:val="Normal"/>
              <w:rPr/>
            </w:pPr>
            <w:r>
              <w:rPr/>
            </w:r>
          </w:p>
        </w:tc>
      </w:tr>
      <w:tr>
        <w:trPr>
          <w:trHeight w:val="840" w:hRule="atLeast"/>
        </w:trPr>
        <w:tc>
          <w:tcPr>
            <w:tcW w:w="961" w:type="dxa"/>
            <w:vMerge w:val="continue"/>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continue"/>
            <w:tcBorders>
              <w:right w:val="single" w:sz="4" w:space="0" w:color="000000"/>
            </w:tcBorders>
            <w:shd w:color="auto" w:fill="auto" w:val="clear"/>
          </w:tcPr>
          <w:p>
            <w:pPr>
              <w:pStyle w:val="Normal"/>
              <w:rPr/>
            </w:pPr>
            <w:r>
              <w:rPr/>
            </w:r>
          </w:p>
        </w:tc>
        <w:tc>
          <w:tcPr>
            <w:tcW w:w="1200" w:type="dxa"/>
            <w:vMerge w:val="continue"/>
            <w:tcBorders>
              <w:right w:val="single" w:sz="4" w:space="0" w:color="000000"/>
            </w:tcBorders>
            <w:shd w:color="auto" w:fill="auto" w:val="clear"/>
            <w:vAlign w:val="center"/>
          </w:tcPr>
          <w:p>
            <w:pPr>
              <w:pStyle w:val="Normal"/>
              <w:jc w:val="center"/>
              <w:rPr/>
            </w:pPr>
            <w:r>
              <w:rPr/>
            </w:r>
          </w:p>
        </w:tc>
        <w:tc>
          <w:tcPr>
            <w:tcW w:w="1292" w:type="dxa"/>
            <w:vMerge w:val="continue"/>
            <w:tcBorders>
              <w:right w:val="single" w:sz="4" w:space="0" w:color="000000"/>
            </w:tcBorders>
            <w:shd w:color="auto" w:fill="auto" w:val="clear"/>
            <w:vAlign w:val="center"/>
          </w:tcPr>
          <w:p>
            <w:pPr>
              <w:pStyle w:val="Normal"/>
              <w:jc w:val="center"/>
              <w:rPr/>
            </w:pPr>
            <w:r>
              <w:rPr/>
            </w:r>
          </w:p>
        </w:tc>
        <w:tc>
          <w:tcPr>
            <w:tcW w:w="1054"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t>92,5</w:t>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местный</w:t>
            </w:r>
          </w:p>
          <w:p>
            <w:pPr>
              <w:pStyle w:val="Normal"/>
              <w:rPr/>
            </w:pPr>
            <w:r>
              <w:rPr/>
              <w:t>бюджет</w:t>
            </w:r>
          </w:p>
        </w:tc>
        <w:tc>
          <w:tcPr>
            <w:tcW w:w="535" w:type="dxa"/>
            <w:vMerge w:val="continue"/>
            <w:tcBorders>
              <w:bottom w:val="single" w:sz="4" w:space="0" w:color="000000"/>
              <w:right w:val="single" w:sz="4" w:space="0" w:color="000000"/>
            </w:tcBorders>
            <w:shd w:color="auto" w:fill="auto" w:val="clear"/>
          </w:tcPr>
          <w:p>
            <w:pPr>
              <w:pStyle w:val="Normal"/>
              <w:rPr/>
            </w:pPr>
            <w:r>
              <w:rPr/>
            </w:r>
          </w:p>
        </w:tc>
      </w:tr>
      <w:tr>
        <w:trPr>
          <w:trHeight w:val="536" w:hRule="atLeast"/>
        </w:trPr>
        <w:tc>
          <w:tcPr>
            <w:tcW w:w="961" w:type="dxa"/>
            <w:vMerge w:val="restart"/>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restart"/>
            <w:tcBorders>
              <w:top w:val="single" w:sz="4" w:space="0" w:color="000000"/>
              <w:right w:val="single" w:sz="4" w:space="0" w:color="000000"/>
            </w:tcBorders>
            <w:shd w:color="auto" w:fill="auto" w:val="clear"/>
          </w:tcPr>
          <w:p>
            <w:pPr>
              <w:pStyle w:val="Normal"/>
              <w:rPr>
                <w:bCs/>
              </w:rPr>
            </w:pPr>
            <w:r>
              <w:rPr>
                <w:bCs/>
              </w:rPr>
              <w:t>Строительство</w:t>
            </w:r>
            <w:r>
              <w:rPr/>
              <w:t xml:space="preserve"> внутрипоселковых разводящих водопроводных сетей</w:t>
            </w:r>
            <w:r>
              <w:rPr>
                <w:bCs/>
              </w:rPr>
              <w:t xml:space="preserve"> х. Долотинка</w:t>
            </w:r>
          </w:p>
        </w:tc>
        <w:tc>
          <w:tcPr>
            <w:tcW w:w="1200" w:type="dxa"/>
            <w:vMerge w:val="restart"/>
            <w:tcBorders>
              <w:right w:val="single" w:sz="4" w:space="0" w:color="000000"/>
            </w:tcBorders>
            <w:shd w:color="auto" w:fill="auto" w:val="clear"/>
            <w:vAlign w:val="center"/>
          </w:tcPr>
          <w:p>
            <w:pPr>
              <w:pStyle w:val="Normal"/>
              <w:jc w:val="center"/>
              <w:rPr/>
            </w:pPr>
            <w:r>
              <w:rPr/>
              <w:t>14,0</w:t>
            </w:r>
          </w:p>
        </w:tc>
        <w:tc>
          <w:tcPr>
            <w:tcW w:w="1292" w:type="dxa"/>
            <w:vMerge w:val="restart"/>
            <w:tcBorders>
              <w:right w:val="single" w:sz="4" w:space="0" w:color="000000"/>
            </w:tcBorders>
            <w:shd w:color="auto" w:fill="auto" w:val="clear"/>
            <w:vAlign w:val="center"/>
          </w:tcPr>
          <w:p>
            <w:pPr>
              <w:pStyle w:val="Normal"/>
              <w:jc w:val="center"/>
              <w:rPr/>
            </w:pPr>
            <w:r>
              <w:rPr/>
              <w:t>102395,5</w:t>
            </w:r>
          </w:p>
        </w:tc>
        <w:tc>
          <w:tcPr>
            <w:tcW w:w="1054" w:type="dxa"/>
            <w:tcBorders>
              <w:bottom w:val="single" w:sz="4" w:space="0" w:color="000000"/>
              <w:right w:val="single" w:sz="4" w:space="0" w:color="000000"/>
            </w:tcBorders>
            <w:shd w:color="auto" w:fill="auto" w:val="clear"/>
            <w:vAlign w:val="center"/>
          </w:tcPr>
          <w:p>
            <w:pPr>
              <w:pStyle w:val="Normal"/>
              <w:jc w:val="center"/>
              <w:rPr/>
            </w:pPr>
            <w:r>
              <w:rPr/>
            </w:r>
          </w:p>
        </w:tc>
        <w:tc>
          <w:tcPr>
            <w:tcW w:w="663" w:type="dxa"/>
            <w:tcBorders>
              <w:bottom w:val="single" w:sz="4" w:space="0" w:color="000000"/>
              <w:right w:val="single" w:sz="4" w:space="0" w:color="000000"/>
            </w:tcBorders>
            <w:shd w:color="auto" w:fill="auto" w:val="clear"/>
            <w:vAlign w:val="center"/>
          </w:tcPr>
          <w:p>
            <w:pPr>
              <w:pStyle w:val="Normal"/>
              <w:jc w:val="center"/>
              <w:rPr/>
            </w:pPr>
            <w:r>
              <w:rPr/>
            </w:r>
          </w:p>
        </w:tc>
        <w:tc>
          <w:tcPr>
            <w:tcW w:w="928" w:type="dxa"/>
            <w:tcBorders>
              <w:bottom w:val="single" w:sz="4" w:space="0" w:color="000000"/>
              <w:right w:val="single" w:sz="4" w:space="0" w:color="000000"/>
            </w:tcBorders>
            <w:shd w:color="auto" w:fill="auto" w:val="clear"/>
            <w:vAlign w:val="center"/>
          </w:tcPr>
          <w:p>
            <w:pPr>
              <w:pStyle w:val="Normal"/>
              <w:jc w:val="center"/>
              <w:rPr/>
            </w:pPr>
            <w:r>
              <w:rPr/>
            </w:r>
          </w:p>
        </w:tc>
        <w:tc>
          <w:tcPr>
            <w:tcW w:w="1135" w:type="dxa"/>
            <w:tcBorders>
              <w:bottom w:val="single" w:sz="4" w:space="0" w:color="000000"/>
              <w:right w:val="single" w:sz="4" w:space="0" w:color="000000"/>
            </w:tcBorders>
            <w:shd w:color="auto" w:fill="auto" w:val="clear"/>
            <w:vAlign w:val="center"/>
          </w:tcPr>
          <w:p>
            <w:pPr>
              <w:pStyle w:val="Normal"/>
              <w:jc w:val="center"/>
              <w:rPr/>
            </w:pPr>
            <w:r>
              <w:rPr/>
            </w:r>
          </w:p>
        </w:tc>
        <w:tc>
          <w:tcPr>
            <w:tcW w:w="876" w:type="dxa"/>
            <w:tcBorders>
              <w:bottom w:val="single" w:sz="4" w:space="0" w:color="000000"/>
              <w:right w:val="single" w:sz="4" w:space="0" w:color="000000"/>
            </w:tcBorders>
            <w:shd w:color="auto" w:fill="auto" w:val="clear"/>
            <w:vAlign w:val="center"/>
          </w:tcPr>
          <w:p>
            <w:pPr>
              <w:pStyle w:val="Normal"/>
              <w:jc w:val="center"/>
              <w:rPr/>
            </w:pPr>
            <w:r>
              <w:rPr/>
            </w:r>
          </w:p>
        </w:tc>
        <w:tc>
          <w:tcPr>
            <w:tcW w:w="662" w:type="dxa"/>
            <w:tcBorders>
              <w:bottom w:val="single" w:sz="4" w:space="0" w:color="000000"/>
              <w:right w:val="single" w:sz="4" w:space="0" w:color="000000"/>
            </w:tcBorders>
            <w:shd w:color="auto" w:fill="auto" w:val="clear"/>
          </w:tcPr>
          <w:p>
            <w:pPr>
              <w:pStyle w:val="Normal"/>
              <w:rPr/>
            </w:pPr>
            <w:r>
              <w:rPr/>
            </w:r>
          </w:p>
        </w:tc>
        <w:tc>
          <w:tcPr>
            <w:tcW w:w="1060" w:type="dxa"/>
            <w:tcBorders>
              <w:bottom w:val="single" w:sz="4" w:space="0" w:color="000000"/>
              <w:right w:val="single" w:sz="4" w:space="0" w:color="000000"/>
            </w:tcBorders>
            <w:shd w:color="auto" w:fill="auto" w:val="clear"/>
          </w:tcPr>
          <w:p>
            <w:pPr>
              <w:pStyle w:val="Normal"/>
              <w:rPr/>
            </w:pPr>
            <w:r>
              <w:rPr/>
            </w:r>
          </w:p>
        </w:tc>
        <w:tc>
          <w:tcPr>
            <w:tcW w:w="664" w:type="dxa"/>
            <w:tcBorders>
              <w:bottom w:val="single" w:sz="4" w:space="0" w:color="000000"/>
              <w:right w:val="single" w:sz="4" w:space="0" w:color="000000"/>
            </w:tcBorders>
            <w:shd w:color="auto" w:fill="auto" w:val="clear"/>
          </w:tcPr>
          <w:p>
            <w:pPr>
              <w:pStyle w:val="Normal"/>
              <w:rPr/>
            </w:pPr>
            <w:r>
              <w:rPr/>
            </w:r>
          </w:p>
        </w:tc>
        <w:tc>
          <w:tcPr>
            <w:tcW w:w="955" w:type="dxa"/>
            <w:tcBorders>
              <w:bottom w:val="single" w:sz="4" w:space="0" w:color="000000"/>
              <w:right w:val="single" w:sz="4" w:space="0" w:color="000000"/>
            </w:tcBorders>
            <w:shd w:color="auto" w:fill="auto" w:val="clear"/>
          </w:tcPr>
          <w:p>
            <w:pPr>
              <w:pStyle w:val="Normal"/>
              <w:rPr/>
            </w:pPr>
            <w:r>
              <w:rPr/>
            </w:r>
          </w:p>
        </w:tc>
        <w:tc>
          <w:tcPr>
            <w:tcW w:w="1195" w:type="dxa"/>
            <w:tcBorders>
              <w:bottom w:val="single" w:sz="4" w:space="0" w:color="000000"/>
              <w:right w:val="single" w:sz="4" w:space="0" w:color="000000"/>
            </w:tcBorders>
            <w:shd w:color="auto" w:fill="auto" w:val="clear"/>
          </w:tcPr>
          <w:p>
            <w:pPr>
              <w:pStyle w:val="Normal"/>
              <w:rPr/>
            </w:pPr>
            <w:r>
              <w:rPr/>
            </w:r>
          </w:p>
        </w:tc>
        <w:tc>
          <w:tcPr>
            <w:tcW w:w="1402" w:type="dxa"/>
            <w:tcBorders>
              <w:bottom w:val="single" w:sz="4" w:space="0" w:color="000000"/>
              <w:right w:val="single" w:sz="4" w:space="0" w:color="000000"/>
            </w:tcBorders>
            <w:shd w:color="auto" w:fill="auto" w:val="clear"/>
          </w:tcPr>
          <w:p>
            <w:pPr>
              <w:pStyle w:val="Normal"/>
              <w:rPr/>
            </w:pPr>
            <w:r>
              <w:rPr/>
              <w:t>федеральный бюджет</w:t>
            </w:r>
          </w:p>
        </w:tc>
        <w:tc>
          <w:tcPr>
            <w:tcW w:w="535" w:type="dxa"/>
            <w:vMerge w:val="restart"/>
            <w:tcBorders>
              <w:bottom w:val="single" w:sz="4" w:space="0" w:color="000000"/>
              <w:right w:val="single" w:sz="4" w:space="0" w:color="000000"/>
            </w:tcBorders>
            <w:shd w:color="auto" w:fill="auto" w:val="clear"/>
          </w:tcPr>
          <w:p>
            <w:pPr>
              <w:pStyle w:val="Normal"/>
              <w:rPr/>
            </w:pPr>
            <w:r>
              <w:rPr/>
            </w:r>
          </w:p>
        </w:tc>
      </w:tr>
      <w:tr>
        <w:trPr>
          <w:trHeight w:val="510" w:hRule="atLeast"/>
        </w:trPr>
        <w:tc>
          <w:tcPr>
            <w:tcW w:w="961" w:type="dxa"/>
            <w:vMerge w:val="continue"/>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continue"/>
            <w:tcBorders>
              <w:right w:val="single" w:sz="4" w:space="0" w:color="000000"/>
            </w:tcBorders>
            <w:shd w:color="auto" w:fill="auto" w:val="clear"/>
          </w:tcPr>
          <w:p>
            <w:pPr>
              <w:pStyle w:val="Normal"/>
              <w:rPr>
                <w:bCs/>
              </w:rPr>
            </w:pPr>
            <w:r>
              <w:rPr>
                <w:bCs/>
              </w:rPr>
            </w:r>
          </w:p>
        </w:tc>
        <w:tc>
          <w:tcPr>
            <w:tcW w:w="1200" w:type="dxa"/>
            <w:vMerge w:val="continue"/>
            <w:tcBorders>
              <w:right w:val="single" w:sz="4" w:space="0" w:color="000000"/>
            </w:tcBorders>
            <w:shd w:color="auto" w:fill="auto" w:val="clear"/>
            <w:vAlign w:val="center"/>
          </w:tcPr>
          <w:p>
            <w:pPr>
              <w:pStyle w:val="Normal"/>
              <w:jc w:val="center"/>
              <w:rPr/>
            </w:pPr>
            <w:r>
              <w:rPr/>
            </w:r>
          </w:p>
        </w:tc>
        <w:tc>
          <w:tcPr>
            <w:tcW w:w="1292" w:type="dxa"/>
            <w:vMerge w:val="continue"/>
            <w:tcBorders>
              <w:right w:val="single" w:sz="4" w:space="0" w:color="000000"/>
            </w:tcBorders>
            <w:shd w:color="auto" w:fill="auto" w:val="clear"/>
            <w:vAlign w:val="center"/>
          </w:tcPr>
          <w:p>
            <w:pPr>
              <w:pStyle w:val="Normal"/>
              <w:jc w:val="center"/>
              <w:rPr/>
            </w:pPr>
            <w:r>
              <w:rPr/>
            </w:r>
          </w:p>
        </w:tc>
        <w:tc>
          <w:tcPr>
            <w:tcW w:w="1054"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t>36042,2</w:t>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t>51403,2</w:t>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областной  бюджет</w:t>
            </w:r>
          </w:p>
        </w:tc>
        <w:tc>
          <w:tcPr>
            <w:tcW w:w="535" w:type="dxa"/>
            <w:vMerge w:val="continue"/>
            <w:tcBorders>
              <w:right w:val="single" w:sz="4" w:space="0" w:color="000000"/>
            </w:tcBorders>
            <w:shd w:color="auto" w:fill="auto" w:val="clear"/>
          </w:tcPr>
          <w:p>
            <w:pPr>
              <w:pStyle w:val="Normal"/>
              <w:rPr/>
            </w:pPr>
            <w:r>
              <w:rPr/>
            </w:r>
          </w:p>
        </w:tc>
      </w:tr>
      <w:tr>
        <w:trPr>
          <w:trHeight w:val="790" w:hRule="atLeast"/>
        </w:trPr>
        <w:tc>
          <w:tcPr>
            <w:tcW w:w="961" w:type="dxa"/>
            <w:vMerge w:val="continue"/>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continue"/>
            <w:tcBorders>
              <w:right w:val="single" w:sz="4" w:space="0" w:color="000000"/>
            </w:tcBorders>
            <w:shd w:color="auto" w:fill="auto" w:val="clear"/>
          </w:tcPr>
          <w:p>
            <w:pPr>
              <w:pStyle w:val="Normal"/>
              <w:rPr>
                <w:bCs/>
              </w:rPr>
            </w:pPr>
            <w:r>
              <w:rPr>
                <w:bCs/>
              </w:rPr>
            </w:r>
          </w:p>
        </w:tc>
        <w:tc>
          <w:tcPr>
            <w:tcW w:w="1200" w:type="dxa"/>
            <w:vMerge w:val="continue"/>
            <w:tcBorders>
              <w:right w:val="single" w:sz="4" w:space="0" w:color="000000"/>
            </w:tcBorders>
            <w:shd w:color="auto" w:fill="auto" w:val="clear"/>
            <w:vAlign w:val="center"/>
          </w:tcPr>
          <w:p>
            <w:pPr>
              <w:pStyle w:val="Normal"/>
              <w:jc w:val="center"/>
              <w:rPr/>
            </w:pPr>
            <w:r>
              <w:rPr/>
            </w:r>
          </w:p>
        </w:tc>
        <w:tc>
          <w:tcPr>
            <w:tcW w:w="1292" w:type="dxa"/>
            <w:vMerge w:val="continue"/>
            <w:tcBorders>
              <w:right w:val="single" w:sz="4" w:space="0" w:color="000000"/>
            </w:tcBorders>
            <w:shd w:color="auto" w:fill="auto" w:val="clear"/>
            <w:vAlign w:val="center"/>
          </w:tcPr>
          <w:p>
            <w:pPr>
              <w:pStyle w:val="Normal"/>
              <w:jc w:val="center"/>
              <w:rPr/>
            </w:pPr>
            <w:r>
              <w:rPr/>
            </w:r>
          </w:p>
        </w:tc>
        <w:tc>
          <w:tcPr>
            <w:tcW w:w="1054" w:type="dxa"/>
            <w:tcBorders>
              <w:top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right w:val="single" w:sz="4" w:space="0" w:color="000000"/>
            </w:tcBorders>
            <w:shd w:color="auto" w:fill="auto" w:val="clear"/>
            <w:vAlign w:val="center"/>
          </w:tcPr>
          <w:p>
            <w:pPr>
              <w:pStyle w:val="Normal"/>
              <w:jc w:val="center"/>
              <w:rPr/>
            </w:pPr>
            <w:r>
              <w:rPr/>
            </w:r>
          </w:p>
        </w:tc>
        <w:tc>
          <w:tcPr>
            <w:tcW w:w="662" w:type="dxa"/>
            <w:tcBorders>
              <w:top w:val="single" w:sz="4" w:space="0" w:color="000000"/>
              <w:right w:val="single" w:sz="4" w:space="0" w:color="000000"/>
            </w:tcBorders>
            <w:shd w:color="auto" w:fill="auto" w:val="clear"/>
          </w:tcPr>
          <w:p>
            <w:pPr>
              <w:pStyle w:val="Normal"/>
              <w:rPr/>
            </w:pPr>
            <w:r>
              <w:rPr/>
            </w:r>
          </w:p>
        </w:tc>
        <w:tc>
          <w:tcPr>
            <w:tcW w:w="1060" w:type="dxa"/>
            <w:tcBorders>
              <w:top w:val="single" w:sz="4" w:space="0" w:color="000000"/>
              <w:right w:val="single" w:sz="4" w:space="0" w:color="000000"/>
            </w:tcBorders>
            <w:shd w:color="auto" w:fill="auto" w:val="clear"/>
          </w:tcPr>
          <w:p>
            <w:pPr>
              <w:pStyle w:val="Normal"/>
              <w:rPr/>
            </w:pPr>
            <w:r>
              <w:rPr/>
              <w:t>6161,78</w:t>
            </w:r>
          </w:p>
        </w:tc>
        <w:tc>
          <w:tcPr>
            <w:tcW w:w="664" w:type="dxa"/>
            <w:tcBorders>
              <w:top w:val="single" w:sz="4" w:space="0" w:color="000000"/>
              <w:right w:val="single" w:sz="4" w:space="0" w:color="000000"/>
            </w:tcBorders>
            <w:shd w:color="auto" w:fill="auto" w:val="clear"/>
          </w:tcPr>
          <w:p>
            <w:pPr>
              <w:pStyle w:val="Normal"/>
              <w:rPr/>
            </w:pPr>
            <w:r>
              <w:rPr/>
            </w:r>
          </w:p>
        </w:tc>
        <w:tc>
          <w:tcPr>
            <w:tcW w:w="955" w:type="dxa"/>
            <w:tcBorders>
              <w:top w:val="single" w:sz="4" w:space="0" w:color="000000"/>
              <w:right w:val="single" w:sz="4" w:space="0" w:color="000000"/>
            </w:tcBorders>
            <w:shd w:color="auto" w:fill="auto" w:val="clear"/>
          </w:tcPr>
          <w:p>
            <w:pPr>
              <w:pStyle w:val="Normal"/>
              <w:rPr/>
            </w:pPr>
            <w:r>
              <w:rPr/>
            </w:r>
          </w:p>
        </w:tc>
        <w:tc>
          <w:tcPr>
            <w:tcW w:w="1195" w:type="dxa"/>
            <w:tcBorders>
              <w:top w:val="single" w:sz="4" w:space="0" w:color="000000"/>
              <w:right w:val="single" w:sz="4" w:space="0" w:color="000000"/>
            </w:tcBorders>
            <w:shd w:color="auto" w:fill="auto" w:val="clear"/>
          </w:tcPr>
          <w:p>
            <w:pPr>
              <w:pStyle w:val="Normal"/>
              <w:rPr/>
            </w:pPr>
            <w:r>
              <w:rPr/>
              <w:t>8788,3</w:t>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местный</w:t>
            </w:r>
          </w:p>
          <w:p>
            <w:pPr>
              <w:pStyle w:val="Normal"/>
              <w:rPr/>
            </w:pPr>
            <w:r>
              <w:rPr/>
              <w:t>бюджет</w:t>
            </w:r>
          </w:p>
        </w:tc>
        <w:tc>
          <w:tcPr>
            <w:tcW w:w="535" w:type="dxa"/>
            <w:vMerge w:val="continue"/>
            <w:tcBorders>
              <w:bottom w:val="single" w:sz="4" w:space="0" w:color="000000"/>
              <w:right w:val="single" w:sz="4" w:space="0" w:color="000000"/>
            </w:tcBorders>
            <w:shd w:color="auto" w:fill="auto" w:val="clear"/>
          </w:tcPr>
          <w:p>
            <w:pPr>
              <w:pStyle w:val="Normal"/>
              <w:rPr/>
            </w:pPr>
            <w:r>
              <w:rPr/>
            </w:r>
          </w:p>
        </w:tc>
      </w:tr>
      <w:tr>
        <w:trPr>
          <w:trHeight w:val="900" w:hRule="atLeast"/>
        </w:trPr>
        <w:tc>
          <w:tcPr>
            <w:tcW w:w="961" w:type="dxa"/>
            <w:vMerge w:val="restart"/>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restart"/>
            <w:tcBorders>
              <w:top w:val="single" w:sz="4" w:space="0" w:color="000000"/>
              <w:left w:val="single" w:sz="4" w:space="0" w:color="000000"/>
              <w:right w:val="single" w:sz="4" w:space="0" w:color="000000"/>
            </w:tcBorders>
            <w:shd w:color="auto" w:fill="auto" w:val="clear"/>
          </w:tcPr>
          <w:p>
            <w:pPr>
              <w:pStyle w:val="Normal"/>
              <w:rPr>
                <w:bCs/>
              </w:rPr>
            </w:pPr>
            <w:r>
              <w:rPr/>
              <w:t xml:space="preserve">Разработка проектно-сметной документации на  </w:t>
            </w:r>
            <w:r>
              <w:rPr>
                <w:bCs/>
              </w:rPr>
              <w:t>строительство на</w:t>
            </w:r>
          </w:p>
          <w:p>
            <w:pPr>
              <w:pStyle w:val="Normal"/>
              <w:rPr/>
            </w:pPr>
            <w:r>
              <w:rPr/>
              <w:t>реконструкцию внутрипоселковых разводящих водопроводных сетей х. Водин</w:t>
            </w:r>
          </w:p>
        </w:tc>
        <w:tc>
          <w:tcPr>
            <w:tcW w:w="1200" w:type="dxa"/>
            <w:vMerge w:val="restart"/>
            <w:tcBorders>
              <w:top w:val="single" w:sz="4" w:space="0" w:color="000000"/>
              <w:left w:val="single" w:sz="4" w:space="0" w:color="000000"/>
              <w:right w:val="single" w:sz="4" w:space="0" w:color="000000"/>
            </w:tcBorders>
            <w:shd w:color="auto" w:fill="auto" w:val="clear"/>
            <w:vAlign w:val="center"/>
          </w:tcPr>
          <w:p>
            <w:pPr>
              <w:pStyle w:val="Normal"/>
              <w:jc w:val="center"/>
              <w:rPr/>
            </w:pPr>
            <w:r>
              <w:rPr/>
              <w:t>2</w:t>
            </w:r>
          </w:p>
        </w:tc>
        <w:tc>
          <w:tcPr>
            <w:tcW w:w="1292" w:type="dxa"/>
            <w:vMerge w:val="restart"/>
            <w:tcBorders>
              <w:top w:val="single" w:sz="4" w:space="0" w:color="000000"/>
              <w:left w:val="single" w:sz="4" w:space="0" w:color="000000"/>
              <w:right w:val="single" w:sz="4" w:space="0" w:color="000000"/>
            </w:tcBorders>
            <w:shd w:color="auto" w:fill="auto" w:val="clear"/>
            <w:vAlign w:val="center"/>
          </w:tcPr>
          <w:p>
            <w:pPr>
              <w:pStyle w:val="Normal"/>
              <w:jc w:val="center"/>
              <w:rPr/>
            </w:pPr>
            <w:r>
              <w:rPr/>
              <w:t>80,5</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федеральный бюджет</w:t>
            </w:r>
          </w:p>
        </w:tc>
        <w:tc>
          <w:tcPr>
            <w:tcW w:w="535" w:type="dxa"/>
            <w:vMerge w:val="restart"/>
            <w:tcBorders>
              <w:top w:val="single" w:sz="4" w:space="0" w:color="000000"/>
              <w:left w:val="single" w:sz="4" w:space="0" w:color="000000"/>
              <w:right w:val="single" w:sz="4" w:space="0" w:color="000000"/>
            </w:tcBorders>
            <w:shd w:color="auto" w:fill="auto" w:val="clear"/>
          </w:tcPr>
          <w:p>
            <w:pPr>
              <w:pStyle w:val="Normal"/>
              <w:rPr/>
            </w:pPr>
            <w:r>
              <w:rPr/>
            </w:r>
          </w:p>
        </w:tc>
      </w:tr>
      <w:tr>
        <w:trPr>
          <w:trHeight w:val="1065" w:hRule="atLeast"/>
        </w:trPr>
        <w:tc>
          <w:tcPr>
            <w:tcW w:w="961" w:type="dxa"/>
            <w:vMerge w:val="continue"/>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continue"/>
            <w:tcBorders>
              <w:left w:val="single" w:sz="4" w:space="0" w:color="000000"/>
              <w:right w:val="single" w:sz="4" w:space="0" w:color="000000"/>
            </w:tcBorders>
            <w:shd w:color="auto" w:fill="auto" w:val="clear"/>
          </w:tcPr>
          <w:p>
            <w:pPr>
              <w:pStyle w:val="Normal"/>
              <w:rPr/>
            </w:pPr>
            <w:r>
              <w:rPr/>
            </w:r>
          </w:p>
        </w:tc>
        <w:tc>
          <w:tcPr>
            <w:tcW w:w="1200" w:type="dxa"/>
            <w:vMerge w:val="continue"/>
            <w:tcBorders>
              <w:left w:val="single" w:sz="4" w:space="0" w:color="000000"/>
              <w:right w:val="single" w:sz="4" w:space="0" w:color="000000"/>
            </w:tcBorders>
            <w:shd w:color="auto" w:fill="auto" w:val="clear"/>
            <w:vAlign w:val="center"/>
          </w:tcPr>
          <w:p>
            <w:pPr>
              <w:pStyle w:val="Normal"/>
              <w:jc w:val="center"/>
              <w:rPr/>
            </w:pPr>
            <w:r>
              <w:rPr/>
            </w:r>
          </w:p>
        </w:tc>
        <w:tc>
          <w:tcPr>
            <w:tcW w:w="1292" w:type="dxa"/>
            <w:vMerge w:val="continue"/>
            <w:tcBorders>
              <w:left w:val="single" w:sz="4" w:space="0" w:color="000000"/>
              <w:right w:val="single" w:sz="4" w:space="0" w:color="000000"/>
            </w:tcBorders>
            <w:shd w:color="auto" w:fill="auto" w:val="clear"/>
            <w:vAlign w:val="center"/>
          </w:tcPr>
          <w:p>
            <w:pPr>
              <w:pStyle w:val="Normal"/>
              <w:jc w:val="center"/>
              <w:rPr/>
            </w:pPr>
            <w:r>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t>67,3</w:t>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областной  бюджет</w:t>
            </w:r>
          </w:p>
        </w:tc>
        <w:tc>
          <w:tcPr>
            <w:tcW w:w="535" w:type="dxa"/>
            <w:vMerge w:val="continue"/>
            <w:tcBorders>
              <w:left w:val="single" w:sz="4" w:space="0" w:color="000000"/>
              <w:right w:val="single" w:sz="4" w:space="0" w:color="000000"/>
            </w:tcBorders>
            <w:shd w:color="auto" w:fill="auto" w:val="clear"/>
          </w:tcPr>
          <w:p>
            <w:pPr>
              <w:pStyle w:val="Normal"/>
              <w:rPr/>
            </w:pPr>
            <w:r>
              <w:rPr/>
            </w:r>
          </w:p>
        </w:tc>
      </w:tr>
      <w:tr>
        <w:trPr>
          <w:trHeight w:val="1395" w:hRule="atLeast"/>
        </w:trPr>
        <w:tc>
          <w:tcPr>
            <w:tcW w:w="961" w:type="dxa"/>
            <w:vMerge w:val="continue"/>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continue"/>
            <w:tcBorders>
              <w:left w:val="single" w:sz="4" w:space="0" w:color="000000"/>
              <w:right w:val="single" w:sz="4" w:space="0" w:color="000000"/>
            </w:tcBorders>
            <w:shd w:color="auto" w:fill="auto" w:val="clear"/>
          </w:tcPr>
          <w:p>
            <w:pPr>
              <w:pStyle w:val="Normal"/>
              <w:rPr/>
            </w:pPr>
            <w:r>
              <w:rPr/>
            </w:r>
          </w:p>
        </w:tc>
        <w:tc>
          <w:tcPr>
            <w:tcW w:w="1200" w:type="dxa"/>
            <w:vMerge w:val="continue"/>
            <w:tcBorders>
              <w:left w:val="single" w:sz="4" w:space="0" w:color="000000"/>
              <w:right w:val="single" w:sz="4" w:space="0" w:color="000000"/>
            </w:tcBorders>
            <w:shd w:color="auto" w:fill="auto" w:val="clear"/>
            <w:vAlign w:val="center"/>
          </w:tcPr>
          <w:p>
            <w:pPr>
              <w:pStyle w:val="Normal"/>
              <w:jc w:val="center"/>
              <w:rPr/>
            </w:pPr>
            <w:r>
              <w:rPr/>
            </w:r>
          </w:p>
        </w:tc>
        <w:tc>
          <w:tcPr>
            <w:tcW w:w="1292" w:type="dxa"/>
            <w:vMerge w:val="continue"/>
            <w:tcBorders>
              <w:left w:val="single" w:sz="4" w:space="0" w:color="000000"/>
              <w:right w:val="single" w:sz="4" w:space="0" w:color="000000"/>
            </w:tcBorders>
            <w:shd w:color="auto" w:fill="auto" w:val="clear"/>
            <w:vAlign w:val="center"/>
          </w:tcPr>
          <w:p>
            <w:pPr>
              <w:pStyle w:val="Normal"/>
              <w:jc w:val="center"/>
              <w:rPr/>
            </w:pPr>
            <w:r>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t>13,2</w:t>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местный</w:t>
            </w:r>
          </w:p>
          <w:p>
            <w:pPr>
              <w:pStyle w:val="Normal"/>
              <w:rPr/>
            </w:pPr>
            <w:r>
              <w:rPr/>
              <w:t>бюджет</w:t>
            </w:r>
          </w:p>
        </w:tc>
        <w:tc>
          <w:tcPr>
            <w:tcW w:w="535" w:type="dxa"/>
            <w:vMerge w:val="continue"/>
            <w:tcBorders>
              <w:left w:val="single" w:sz="4" w:space="0" w:color="000000"/>
              <w:right w:val="single" w:sz="4" w:space="0" w:color="000000"/>
            </w:tcBorders>
            <w:shd w:color="auto" w:fill="auto" w:val="clear"/>
          </w:tcPr>
          <w:p>
            <w:pPr>
              <w:pStyle w:val="Normal"/>
              <w:rPr/>
            </w:pPr>
            <w:r>
              <w:rPr/>
            </w:r>
          </w:p>
        </w:tc>
      </w:tr>
      <w:tr>
        <w:trPr>
          <w:trHeight w:val="345" w:hRule="atLeast"/>
        </w:trPr>
        <w:tc>
          <w:tcPr>
            <w:tcW w:w="961" w:type="dxa"/>
            <w:vMerge w:val="restart"/>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t>Реконструкция внутрипоселковых разводящих водопроводных сетей х. Водин</w:t>
            </w:r>
          </w:p>
        </w:tc>
        <w:tc>
          <w:tcPr>
            <w:tcW w:w="120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2,0</w:t>
            </w:r>
          </w:p>
        </w:tc>
        <w:tc>
          <w:tcPr>
            <w:tcW w:w="129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6029,0</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федеральный бюджет</w:t>
            </w:r>
          </w:p>
        </w:tc>
        <w:tc>
          <w:tcPr>
            <w:tcW w:w="535" w:type="dxa"/>
            <w:vMerge w:val="restart"/>
            <w:tcBorders>
              <w:left w:val="single" w:sz="4" w:space="0" w:color="000000"/>
              <w:right w:val="single" w:sz="4" w:space="0" w:color="000000"/>
            </w:tcBorders>
            <w:shd w:color="auto" w:fill="auto" w:val="clear"/>
          </w:tcPr>
          <w:p>
            <w:pPr>
              <w:pStyle w:val="Normal"/>
              <w:rPr/>
            </w:pPr>
            <w:r>
              <w:rPr/>
            </w:r>
          </w:p>
        </w:tc>
      </w:tr>
      <w:tr>
        <w:trPr>
          <w:trHeight w:val="540" w:hRule="atLeast"/>
        </w:trPr>
        <w:tc>
          <w:tcPr>
            <w:tcW w:w="961" w:type="dxa"/>
            <w:vMerge w:val="continue"/>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continue"/>
            <w:tcBorders>
              <w:left w:val="single" w:sz="4" w:space="0" w:color="000000"/>
              <w:right w:val="single" w:sz="4" w:space="0" w:color="000000"/>
            </w:tcBorders>
            <w:shd w:color="auto" w:fill="auto" w:val="clear"/>
          </w:tcPr>
          <w:p>
            <w:pPr>
              <w:pStyle w:val="Normal"/>
              <w:rPr/>
            </w:pPr>
            <w:r>
              <w:rPr/>
            </w:r>
          </w:p>
        </w:tc>
        <w:tc>
          <w:tcPr>
            <w:tcW w:w="1200" w:type="dxa"/>
            <w:vMerge w:val="continue"/>
            <w:tcBorders>
              <w:left w:val="single" w:sz="4" w:space="0" w:color="000000"/>
              <w:right w:val="single" w:sz="4" w:space="0" w:color="000000"/>
            </w:tcBorders>
            <w:shd w:color="auto" w:fill="auto" w:val="clear"/>
            <w:vAlign w:val="center"/>
          </w:tcPr>
          <w:p>
            <w:pPr>
              <w:pStyle w:val="Normal"/>
              <w:jc w:val="center"/>
              <w:rPr/>
            </w:pPr>
            <w:r>
              <w:rPr/>
            </w:r>
          </w:p>
        </w:tc>
        <w:tc>
          <w:tcPr>
            <w:tcW w:w="1292" w:type="dxa"/>
            <w:vMerge w:val="continue"/>
            <w:tcBorders>
              <w:left w:val="single" w:sz="4" w:space="0" w:color="000000"/>
              <w:right w:val="single" w:sz="4" w:space="0" w:color="000000"/>
            </w:tcBorders>
            <w:shd w:color="auto" w:fill="auto" w:val="clear"/>
            <w:vAlign w:val="center"/>
          </w:tcPr>
          <w:p>
            <w:pPr>
              <w:pStyle w:val="Normal"/>
              <w:jc w:val="center"/>
              <w:rPr/>
            </w:pPr>
            <w:r>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t>5148,8</w:t>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областной  бюджет</w:t>
            </w:r>
          </w:p>
        </w:tc>
        <w:tc>
          <w:tcPr>
            <w:tcW w:w="535" w:type="dxa"/>
            <w:vMerge w:val="continue"/>
            <w:tcBorders>
              <w:left w:val="single" w:sz="4" w:space="0" w:color="000000"/>
              <w:right w:val="single" w:sz="4" w:space="0" w:color="000000"/>
            </w:tcBorders>
            <w:shd w:color="auto" w:fill="auto" w:val="clear"/>
          </w:tcPr>
          <w:p>
            <w:pPr>
              <w:pStyle w:val="Normal"/>
              <w:rPr/>
            </w:pPr>
            <w:r>
              <w:rPr/>
            </w:r>
          </w:p>
        </w:tc>
      </w:tr>
      <w:tr>
        <w:trPr>
          <w:trHeight w:val="360" w:hRule="atLeast"/>
        </w:trPr>
        <w:tc>
          <w:tcPr>
            <w:tcW w:w="961" w:type="dxa"/>
            <w:vMerge w:val="continue"/>
            <w:tcBorders>
              <w:left w:val="single" w:sz="4" w:space="0" w:color="000000"/>
              <w:right w:val="single" w:sz="4" w:space="0" w:color="000000"/>
            </w:tcBorders>
            <w:shd w:color="auto" w:fill="auto" w:val="clear"/>
          </w:tcPr>
          <w:p>
            <w:pPr>
              <w:pStyle w:val="Normal"/>
              <w:jc w:val="center"/>
              <w:rPr>
                <w:bCs/>
              </w:rPr>
            </w:pPr>
            <w:r>
              <w:rPr>
                <w:bCs/>
              </w:rPr>
            </w:r>
          </w:p>
        </w:tc>
        <w:tc>
          <w:tcPr>
            <w:tcW w:w="1437" w:type="dxa"/>
            <w:vMerge w:val="continue"/>
            <w:tcBorders>
              <w:left w:val="single" w:sz="4" w:space="0" w:color="000000"/>
              <w:bottom w:val="single" w:sz="4" w:space="0" w:color="000000"/>
              <w:right w:val="single" w:sz="4" w:space="0" w:color="000000"/>
            </w:tcBorders>
            <w:shd w:color="auto" w:fill="auto" w:val="clear"/>
          </w:tcPr>
          <w:p>
            <w:pPr>
              <w:pStyle w:val="Normal"/>
              <w:rPr/>
            </w:pPr>
            <w:r>
              <w:rPr/>
            </w:r>
          </w:p>
        </w:tc>
        <w:tc>
          <w:tcPr>
            <w:tcW w:w="1200" w:type="dxa"/>
            <w:vMerge w:val="continue"/>
            <w:tcBorders>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292" w:type="dxa"/>
            <w:vMerge w:val="continue"/>
            <w:tcBorders>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pPr>
            <w:r>
              <w:rPr/>
            </w:r>
          </w:p>
        </w:tc>
        <w:tc>
          <w:tcPr>
            <w:tcW w:w="662" w:type="dxa"/>
            <w:tcBorders>
              <w:top w:val="single" w:sz="4" w:space="0" w:color="000000"/>
              <w:bottom w:val="single" w:sz="4" w:space="0" w:color="000000"/>
              <w:right w:val="single" w:sz="4" w:space="0" w:color="000000"/>
            </w:tcBorders>
            <w:shd w:color="auto" w:fill="auto" w:val="clear"/>
          </w:tcPr>
          <w:p>
            <w:pPr>
              <w:pStyle w:val="Normal"/>
              <w:rPr/>
            </w:pPr>
            <w:r>
              <w:rPr/>
            </w:r>
          </w:p>
        </w:tc>
        <w:tc>
          <w:tcPr>
            <w:tcW w:w="1060" w:type="dxa"/>
            <w:tcBorders>
              <w:top w:val="single" w:sz="4" w:space="0" w:color="000000"/>
              <w:bottom w:val="single" w:sz="4" w:space="0" w:color="000000"/>
              <w:right w:val="single" w:sz="4" w:space="0" w:color="000000"/>
            </w:tcBorders>
            <w:shd w:color="auto" w:fill="auto" w:val="clear"/>
          </w:tcPr>
          <w:p>
            <w:pPr>
              <w:pStyle w:val="Normal"/>
              <w:rPr/>
            </w:pPr>
            <w:r>
              <w:rPr/>
            </w:r>
          </w:p>
        </w:tc>
        <w:tc>
          <w:tcPr>
            <w:tcW w:w="664" w:type="dxa"/>
            <w:tcBorders>
              <w:top w:val="single" w:sz="4" w:space="0" w:color="000000"/>
              <w:bottom w:val="single" w:sz="4" w:space="0" w:color="000000"/>
              <w:right w:val="single" w:sz="4" w:space="0" w:color="000000"/>
            </w:tcBorders>
            <w:shd w:color="auto" w:fill="auto" w:val="clear"/>
          </w:tcPr>
          <w:p>
            <w:pPr>
              <w:pStyle w:val="Normal"/>
              <w:rPr/>
            </w:pPr>
            <w:r>
              <w:rPr/>
            </w:r>
          </w:p>
        </w:tc>
        <w:tc>
          <w:tcPr>
            <w:tcW w:w="955" w:type="dxa"/>
            <w:tcBorders>
              <w:top w:val="single" w:sz="4" w:space="0" w:color="000000"/>
              <w:bottom w:val="single" w:sz="4" w:space="0" w:color="000000"/>
              <w:right w:val="single" w:sz="4" w:space="0" w:color="000000"/>
            </w:tcBorders>
            <w:shd w:color="auto" w:fill="auto" w:val="clear"/>
          </w:tcPr>
          <w:p>
            <w:pPr>
              <w:pStyle w:val="Normal"/>
              <w:rPr/>
            </w:pPr>
            <w:r>
              <w:rPr/>
              <w:t>880,2</w:t>
            </w:r>
          </w:p>
        </w:tc>
        <w:tc>
          <w:tcPr>
            <w:tcW w:w="1195" w:type="dxa"/>
            <w:tcBorders>
              <w:top w:val="single" w:sz="4" w:space="0" w:color="000000"/>
              <w:bottom w:val="single" w:sz="4" w:space="0" w:color="000000"/>
              <w:right w:val="single" w:sz="4" w:space="0" w:color="000000"/>
            </w:tcBorders>
            <w:shd w:color="auto" w:fill="auto" w:val="clear"/>
          </w:tcPr>
          <w:p>
            <w:pPr>
              <w:pStyle w:val="Normal"/>
              <w:rPr/>
            </w:pPr>
            <w:r>
              <w:rPr/>
            </w:r>
          </w:p>
        </w:tc>
        <w:tc>
          <w:tcPr>
            <w:tcW w:w="1402" w:type="dxa"/>
            <w:tcBorders>
              <w:top w:val="single" w:sz="4" w:space="0" w:color="000000"/>
              <w:bottom w:val="single" w:sz="4" w:space="0" w:color="000000"/>
              <w:right w:val="single" w:sz="4" w:space="0" w:color="000000"/>
            </w:tcBorders>
            <w:shd w:color="auto" w:fill="auto" w:val="clear"/>
          </w:tcPr>
          <w:p>
            <w:pPr>
              <w:pStyle w:val="Normal"/>
              <w:rPr/>
            </w:pPr>
            <w:r>
              <w:rPr/>
              <w:t>местный</w:t>
            </w:r>
          </w:p>
          <w:p>
            <w:pPr>
              <w:pStyle w:val="Normal"/>
              <w:rPr/>
            </w:pPr>
            <w:r>
              <w:rPr/>
              <w:t>бюджет</w:t>
            </w:r>
          </w:p>
        </w:tc>
        <w:tc>
          <w:tcPr>
            <w:tcW w:w="535" w:type="dxa"/>
            <w:vMerge w:val="continue"/>
            <w:tcBorders>
              <w:left w:val="single" w:sz="4" w:space="0" w:color="000000"/>
              <w:right w:val="single" w:sz="4" w:space="0" w:color="000000"/>
            </w:tcBorders>
            <w:shd w:color="auto" w:fill="auto" w:val="clear"/>
          </w:tcPr>
          <w:p>
            <w:pPr>
              <w:pStyle w:val="Normal"/>
              <w:rPr/>
            </w:pPr>
            <w:r>
              <w:rPr/>
            </w:r>
          </w:p>
        </w:tc>
      </w:tr>
      <w:tr>
        <w:trPr>
          <w:trHeight w:val="360" w:hRule="atLeast"/>
        </w:trPr>
        <w:tc>
          <w:tcPr>
            <w:tcW w:w="961" w:type="dxa"/>
            <w:tcBorders>
              <w:left w:val="single" w:sz="4" w:space="0" w:color="000000"/>
              <w:bottom w:val="single" w:sz="4" w:space="0" w:color="000000"/>
              <w:right w:val="single" w:sz="4" w:space="0" w:color="000000"/>
            </w:tcBorders>
            <w:shd w:color="auto" w:fill="auto" w:val="clear"/>
          </w:tcPr>
          <w:p>
            <w:pPr>
              <w:pStyle w:val="Normal"/>
              <w:jc w:val="center"/>
              <w:rPr>
                <w:b/>
                <w:bCs/>
              </w:rPr>
            </w:pPr>
            <w:r>
              <w:rPr>
                <w:b/>
                <w:bCs/>
              </w:rPr>
            </w:r>
          </w:p>
        </w:tc>
        <w:tc>
          <w:tcPr>
            <w:tcW w:w="143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rPr>
            </w:pPr>
            <w:r>
              <w:rPr>
                <w:b/>
              </w:rPr>
              <w:t>Итого</w:t>
            </w:r>
          </w:p>
        </w:tc>
        <w:tc>
          <w:tcPr>
            <w:tcW w:w="12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rPr>
            </w:pPr>
            <w:r>
              <w:rPr>
                <w:b/>
              </w:rPr>
              <w:t>29,73</w:t>
            </w:r>
          </w:p>
        </w:tc>
        <w:tc>
          <w:tcPr>
            <w:tcW w:w="12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rPr>
            </w:pPr>
            <w:r>
              <w:rPr>
                <w:b/>
              </w:rPr>
              <w:t>201851,82</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rPr>
            </w:pPr>
            <w:r>
              <w:rPr>
                <w:b/>
              </w:rPr>
              <w:t>13025,6</w:t>
            </w:r>
          </w:p>
        </w:tc>
        <w:tc>
          <w:tcPr>
            <w:tcW w:w="663" w:type="dxa"/>
            <w:tcBorders>
              <w:top w:val="single" w:sz="4" w:space="0" w:color="000000"/>
              <w:bottom w:val="single" w:sz="4" w:space="0" w:color="000000"/>
              <w:right w:val="single" w:sz="4" w:space="0" w:color="000000"/>
            </w:tcBorders>
            <w:shd w:color="auto" w:fill="auto" w:val="clear"/>
            <w:vAlign w:val="center"/>
          </w:tcPr>
          <w:p>
            <w:pPr>
              <w:pStyle w:val="Normal"/>
              <w:jc w:val="center"/>
              <w:rPr>
                <w:b/>
              </w:rPr>
            </w:pPr>
            <w:r>
              <w:rPr>
                <w:b/>
              </w:rPr>
            </w:r>
          </w:p>
        </w:tc>
        <w:tc>
          <w:tcPr>
            <w:tcW w:w="928" w:type="dxa"/>
            <w:tcBorders>
              <w:top w:val="single" w:sz="4" w:space="0" w:color="000000"/>
              <w:bottom w:val="single" w:sz="4" w:space="0" w:color="000000"/>
              <w:right w:val="single" w:sz="4" w:space="0" w:color="000000"/>
            </w:tcBorders>
            <w:shd w:color="auto" w:fill="auto" w:val="clear"/>
            <w:vAlign w:val="center"/>
          </w:tcPr>
          <w:p>
            <w:pPr>
              <w:pStyle w:val="Normal"/>
              <w:jc w:val="center"/>
              <w:rPr>
                <w:b/>
              </w:rPr>
            </w:pPr>
            <w:r>
              <w:rPr>
                <w:b/>
              </w:rPr>
              <w:t>1219,6</w:t>
            </w:r>
          </w:p>
        </w:tc>
        <w:tc>
          <w:tcPr>
            <w:tcW w:w="1135" w:type="dxa"/>
            <w:tcBorders>
              <w:top w:val="single" w:sz="4" w:space="0" w:color="000000"/>
              <w:bottom w:val="single" w:sz="4" w:space="0" w:color="000000"/>
              <w:right w:val="single" w:sz="4" w:space="0" w:color="000000"/>
            </w:tcBorders>
            <w:shd w:color="auto" w:fill="auto" w:val="clear"/>
            <w:vAlign w:val="center"/>
          </w:tcPr>
          <w:p>
            <w:pPr>
              <w:pStyle w:val="Normal"/>
              <w:jc w:val="center"/>
              <w:rPr>
                <w:b/>
              </w:rPr>
            </w:pPr>
            <w:r>
              <w:rPr>
                <w:b/>
              </w:rPr>
              <w:t>24404,4</w:t>
            </w:r>
          </w:p>
        </w:tc>
        <w:tc>
          <w:tcPr>
            <w:tcW w:w="876" w:type="dxa"/>
            <w:tcBorders>
              <w:top w:val="single" w:sz="4" w:space="0" w:color="000000"/>
              <w:bottom w:val="single" w:sz="4" w:space="0" w:color="000000"/>
              <w:right w:val="single" w:sz="4" w:space="0" w:color="000000"/>
            </w:tcBorders>
            <w:shd w:color="auto" w:fill="auto" w:val="clear"/>
            <w:vAlign w:val="center"/>
          </w:tcPr>
          <w:p>
            <w:pPr>
              <w:pStyle w:val="Normal"/>
              <w:jc w:val="center"/>
              <w:rPr>
                <w:b/>
              </w:rPr>
            </w:pPr>
            <w:r>
              <w:rPr>
                <w:b/>
              </w:rPr>
              <w:t>563,37</w:t>
            </w:r>
          </w:p>
        </w:tc>
        <w:tc>
          <w:tcPr>
            <w:tcW w:w="662" w:type="dxa"/>
            <w:tcBorders>
              <w:top w:val="single" w:sz="4" w:space="0" w:color="000000"/>
              <w:bottom w:val="single" w:sz="4" w:space="0" w:color="000000"/>
              <w:right w:val="single" w:sz="4" w:space="0" w:color="000000"/>
            </w:tcBorders>
            <w:shd w:color="auto" w:fill="auto" w:val="clear"/>
            <w:vAlign w:val="center"/>
          </w:tcPr>
          <w:p>
            <w:pPr>
              <w:pStyle w:val="Normal"/>
              <w:jc w:val="center"/>
              <w:rPr>
                <w:b/>
              </w:rPr>
            </w:pPr>
            <w:r>
              <w:rPr>
                <w:b/>
              </w:rPr>
            </w:r>
          </w:p>
        </w:tc>
        <w:tc>
          <w:tcPr>
            <w:tcW w:w="1060" w:type="dxa"/>
            <w:tcBorders>
              <w:top w:val="single" w:sz="4" w:space="0" w:color="000000"/>
              <w:bottom w:val="single" w:sz="4" w:space="0" w:color="000000"/>
              <w:right w:val="single" w:sz="4" w:space="0" w:color="000000"/>
            </w:tcBorders>
            <w:shd w:color="auto" w:fill="auto" w:val="clear"/>
            <w:vAlign w:val="center"/>
          </w:tcPr>
          <w:p>
            <w:pPr>
              <w:pStyle w:val="Normal"/>
              <w:rPr>
                <w:b/>
              </w:rPr>
            </w:pPr>
            <w:r>
              <w:rPr>
                <w:b/>
              </w:rPr>
              <w:t>42204,0</w:t>
            </w:r>
          </w:p>
        </w:tc>
        <w:tc>
          <w:tcPr>
            <w:tcW w:w="664" w:type="dxa"/>
            <w:tcBorders>
              <w:top w:val="single" w:sz="4" w:space="0" w:color="000000"/>
              <w:bottom w:val="single" w:sz="4" w:space="0" w:color="000000"/>
              <w:right w:val="single" w:sz="4" w:space="0" w:color="000000"/>
            </w:tcBorders>
            <w:shd w:color="auto" w:fill="auto" w:val="clear"/>
            <w:vAlign w:val="center"/>
          </w:tcPr>
          <w:p>
            <w:pPr>
              <w:pStyle w:val="Normal"/>
              <w:jc w:val="center"/>
              <w:rPr>
                <w:b/>
              </w:rPr>
            </w:pPr>
            <w:r>
              <w:rPr>
                <w:b/>
              </w:rPr>
            </w:r>
          </w:p>
        </w:tc>
        <w:tc>
          <w:tcPr>
            <w:tcW w:w="955" w:type="dxa"/>
            <w:tcBorders>
              <w:top w:val="single" w:sz="4" w:space="0" w:color="000000"/>
              <w:bottom w:val="single" w:sz="4" w:space="0" w:color="000000"/>
              <w:right w:val="single" w:sz="4" w:space="0" w:color="000000"/>
            </w:tcBorders>
            <w:shd w:color="auto" w:fill="auto" w:val="clear"/>
            <w:vAlign w:val="center"/>
          </w:tcPr>
          <w:p>
            <w:pPr>
              <w:pStyle w:val="Normal"/>
              <w:jc w:val="center"/>
              <w:rPr>
                <w:b/>
              </w:rPr>
            </w:pPr>
            <w:r>
              <w:rPr>
                <w:b/>
              </w:rPr>
              <w:t>6029,0</w:t>
            </w:r>
          </w:p>
        </w:tc>
        <w:tc>
          <w:tcPr>
            <w:tcW w:w="1195" w:type="dxa"/>
            <w:tcBorders>
              <w:top w:val="single" w:sz="4" w:space="0" w:color="000000"/>
              <w:bottom w:val="single" w:sz="4" w:space="0" w:color="000000"/>
              <w:right w:val="single" w:sz="4" w:space="0" w:color="000000"/>
            </w:tcBorders>
            <w:shd w:color="auto" w:fill="auto" w:val="clear"/>
            <w:vAlign w:val="center"/>
          </w:tcPr>
          <w:p>
            <w:pPr>
              <w:pStyle w:val="Normal"/>
              <w:jc w:val="center"/>
              <w:rPr>
                <w:b/>
              </w:rPr>
            </w:pPr>
            <w:r>
              <w:rPr>
                <w:b/>
              </w:rPr>
              <w:t>114322,3</w:t>
            </w:r>
          </w:p>
        </w:tc>
        <w:tc>
          <w:tcPr>
            <w:tcW w:w="1402" w:type="dxa"/>
            <w:tcBorders>
              <w:top w:val="single" w:sz="4" w:space="0" w:color="000000"/>
              <w:bottom w:val="single" w:sz="4" w:space="0" w:color="000000"/>
              <w:right w:val="single" w:sz="4" w:space="0" w:color="000000"/>
            </w:tcBorders>
            <w:shd w:color="auto" w:fill="auto" w:val="clear"/>
          </w:tcPr>
          <w:p>
            <w:pPr>
              <w:pStyle w:val="Normal"/>
              <w:rPr>
                <w:b/>
              </w:rPr>
            </w:pPr>
            <w:r>
              <w:rPr>
                <w:b/>
              </w:rPr>
            </w:r>
          </w:p>
        </w:tc>
        <w:tc>
          <w:tcPr>
            <w:tcW w:w="535" w:type="dxa"/>
            <w:tcBorders>
              <w:left w:val="single" w:sz="4" w:space="0" w:color="000000"/>
              <w:bottom w:val="single" w:sz="4" w:space="0" w:color="000000"/>
              <w:right w:val="single" w:sz="4" w:space="0" w:color="000000"/>
            </w:tcBorders>
            <w:shd w:color="auto" w:fill="auto" w:val="clear"/>
          </w:tcPr>
          <w:p>
            <w:pPr>
              <w:pStyle w:val="Normal"/>
              <w:rPr>
                <w:b/>
              </w:rPr>
            </w:pPr>
            <w:r>
              <w:rPr>
                <w:b/>
              </w:rPr>
            </w:r>
          </w:p>
        </w:tc>
      </w:tr>
    </w:tbl>
    <w:p>
      <w:pPr>
        <w:pStyle w:val="Normal"/>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Приложение № 3</w:t>
      </w:r>
    </w:p>
    <w:p>
      <w:pPr>
        <w:pStyle w:val="Normal"/>
        <w:jc w:val="center"/>
        <w:rPr>
          <w:b/>
          <w:sz w:val="26"/>
          <w:szCs w:val="26"/>
        </w:rPr>
      </w:pPr>
      <w:r>
        <w:rPr>
          <w:b/>
          <w:sz w:val="26"/>
          <w:szCs w:val="26"/>
        </w:rPr>
        <w:t>ПРОГРАММА</w:t>
      </w:r>
    </w:p>
    <w:p>
      <w:pPr>
        <w:pStyle w:val="Normal"/>
        <w:jc w:val="center"/>
        <w:rPr/>
      </w:pPr>
      <w:r>
        <w:rPr/>
        <w:t>газификации Долотинского сельского поселения  на 2012-2029 годы</w:t>
      </w:r>
    </w:p>
    <w:tbl>
      <w:tblPr>
        <w:tblW w:w="1577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36"/>
        <w:gridCol w:w="2369"/>
        <w:gridCol w:w="1033"/>
        <w:gridCol w:w="850"/>
        <w:gridCol w:w="598"/>
        <w:gridCol w:w="905"/>
        <w:gridCol w:w="904"/>
        <w:gridCol w:w="1049"/>
        <w:gridCol w:w="684"/>
        <w:gridCol w:w="680"/>
        <w:gridCol w:w="787"/>
        <w:gridCol w:w="657"/>
        <w:gridCol w:w="702"/>
        <w:gridCol w:w="518"/>
        <w:gridCol w:w="955"/>
        <w:gridCol w:w="721"/>
        <w:gridCol w:w="1022"/>
        <w:gridCol w:w="897"/>
      </w:tblGrid>
      <w:tr>
        <w:trPr>
          <w:trHeight w:val="778" w:hRule="atLeast"/>
          <w:cantSplit w:val="true"/>
        </w:trPr>
        <w:tc>
          <w:tcPr>
            <w:tcW w:w="43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w:t>
            </w:r>
          </w:p>
          <w:p>
            <w:pPr>
              <w:pStyle w:val="Normal"/>
              <w:jc w:val="center"/>
              <w:rPr>
                <w:bCs/>
              </w:rPr>
            </w:pPr>
            <w:r>
              <w:rPr>
                <w:bCs/>
              </w:rPr>
              <w:t>п/п</w:t>
            </w:r>
          </w:p>
        </w:tc>
        <w:tc>
          <w:tcPr>
            <w:tcW w:w="23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Наименование населенного пункта, объекта</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Кол-во чел. \ домов</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Объекты соцкультбыта</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Протяженность  газопровода, км</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Наличие ПСД, экспертизы</w:t>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Стоим. объекта, тыс. руб. (по аналогу)</w:t>
            </w:r>
          </w:p>
        </w:tc>
        <w:tc>
          <w:tcPr>
            <w:tcW w:w="6753" w:type="dxa"/>
            <w:gridSpan w:val="9"/>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Годы строительства</w:t>
            </w:r>
          </w:p>
        </w:tc>
        <w:tc>
          <w:tcPr>
            <w:tcW w:w="102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ind w:right="-414"/>
              <w:rPr/>
            </w:pPr>
            <w:r>
              <w:rPr/>
              <w:t>План</w:t>
            </w:r>
          </w:p>
          <w:p>
            <w:pPr>
              <w:pStyle w:val="Normal"/>
              <w:jc w:val="center"/>
              <w:rPr>
                <w:bCs/>
              </w:rPr>
            </w:pPr>
            <w:r>
              <w:rPr/>
              <w:t>до 2029 г.</w:t>
            </w:r>
          </w:p>
        </w:tc>
        <w:tc>
          <w:tcPr>
            <w:tcW w:w="89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Примечание</w:t>
            </w:r>
          </w:p>
        </w:tc>
      </w:tr>
      <w:tr>
        <w:trPr>
          <w:trHeight w:val="690" w:hRule="atLeast"/>
          <w:cantSplit w:val="true"/>
        </w:trPr>
        <w:tc>
          <w:tcPr>
            <w:tcW w:w="43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r>
          </w:p>
        </w:tc>
        <w:tc>
          <w:tcPr>
            <w:tcW w:w="23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r>
          </w:p>
        </w:tc>
        <w:tc>
          <w:tcPr>
            <w:tcW w:w="10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r>
          </w:p>
        </w:tc>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r>
          </w:p>
        </w:tc>
        <w:tc>
          <w:tcPr>
            <w:tcW w:w="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r>
          </w:p>
        </w:tc>
        <w:tc>
          <w:tcPr>
            <w:tcW w:w="9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2012</w:t>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2013</w:t>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2014</w:t>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ind w:hanging="572"/>
              <w:jc w:val="right"/>
              <w:rPr>
                <w:bCs/>
              </w:rPr>
            </w:pPr>
            <w:r>
              <w:rPr>
                <w:bCs/>
              </w:rPr>
              <w:t>2015</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2016</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t>2017</w:t>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rPr>
                <w:bCs/>
              </w:rPr>
            </w:pPr>
            <w:r>
              <w:rPr>
                <w:bCs/>
              </w:rPr>
              <w:t>2018</w:t>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rPr>
                <w:bCs/>
              </w:rPr>
            </w:pPr>
            <w:r>
              <w:rPr>
                <w:bCs/>
              </w:rPr>
              <w:t>2019</w:t>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rPr>
                <w:bCs/>
              </w:rPr>
            </w:pPr>
            <w:r>
              <w:rPr>
                <w:bCs/>
              </w:rPr>
              <w:t>2020</w:t>
            </w:r>
          </w:p>
        </w:tc>
        <w:tc>
          <w:tcPr>
            <w:tcW w:w="10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r>
          </w:p>
        </w:tc>
        <w:tc>
          <w:tcPr>
            <w:tcW w:w="8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rPr>
            </w:pPr>
            <w:r>
              <w:rPr>
                <w:bCs/>
              </w:rPr>
            </w:r>
          </w:p>
        </w:tc>
      </w:tr>
      <w:tr>
        <w:trPr>
          <w:cantSplit w:val="true"/>
        </w:trPr>
        <w:tc>
          <w:tcPr>
            <w:tcW w:w="436"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w:t>
            </w:r>
          </w:p>
        </w:tc>
        <w:tc>
          <w:tcPr>
            <w:tcW w:w="2369"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2</w:t>
            </w:r>
          </w:p>
        </w:tc>
        <w:tc>
          <w:tcPr>
            <w:tcW w:w="1033"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3</w:t>
            </w:r>
          </w:p>
        </w:tc>
        <w:tc>
          <w:tcPr>
            <w:tcW w:w="850"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4</w:t>
            </w:r>
          </w:p>
        </w:tc>
        <w:tc>
          <w:tcPr>
            <w:tcW w:w="598"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5</w:t>
            </w:r>
          </w:p>
        </w:tc>
        <w:tc>
          <w:tcPr>
            <w:tcW w:w="90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6</w:t>
            </w:r>
          </w:p>
        </w:tc>
        <w:tc>
          <w:tcPr>
            <w:tcW w:w="904"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7</w:t>
            </w:r>
          </w:p>
        </w:tc>
        <w:tc>
          <w:tcPr>
            <w:tcW w:w="1049"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8</w:t>
            </w:r>
          </w:p>
        </w:tc>
        <w:tc>
          <w:tcPr>
            <w:tcW w:w="684"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9</w:t>
            </w:r>
          </w:p>
        </w:tc>
        <w:tc>
          <w:tcPr>
            <w:tcW w:w="680"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10</w:t>
            </w:r>
          </w:p>
        </w:tc>
        <w:tc>
          <w:tcPr>
            <w:tcW w:w="78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11</w:t>
            </w:r>
          </w:p>
        </w:tc>
        <w:tc>
          <w:tcPr>
            <w:tcW w:w="65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12</w:t>
            </w:r>
          </w:p>
        </w:tc>
        <w:tc>
          <w:tcPr>
            <w:tcW w:w="702"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13</w:t>
            </w:r>
          </w:p>
        </w:tc>
        <w:tc>
          <w:tcPr>
            <w:tcW w:w="518"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14</w:t>
            </w:r>
          </w:p>
        </w:tc>
        <w:tc>
          <w:tcPr>
            <w:tcW w:w="955"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15</w:t>
            </w:r>
          </w:p>
        </w:tc>
        <w:tc>
          <w:tcPr>
            <w:tcW w:w="721"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16</w:t>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17</w:t>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bCs/>
              </w:rPr>
            </w:pPr>
            <w:r>
              <w:rPr>
                <w:bCs/>
              </w:rPr>
              <w:t>18</w:t>
            </w:r>
          </w:p>
        </w:tc>
      </w:tr>
      <w:tr>
        <w:trPr>
          <w:trHeight w:val="630" w:hRule="atLeast"/>
          <w:cantSplit w:val="true"/>
        </w:trPr>
        <w:tc>
          <w:tcPr>
            <w:tcW w:w="43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12</w:t>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Газификация пос.Первомайский    Красносулинского района. Ростовской области</w:t>
            </w:r>
          </w:p>
          <w:p>
            <w:pPr>
              <w:pStyle w:val="Normal"/>
              <w:rPr>
                <w:sz w:val="16"/>
                <w:szCs w:val="16"/>
              </w:rPr>
            </w:pPr>
            <w:r>
              <w:rPr>
                <w:sz w:val="16"/>
                <w:szCs w:val="16"/>
              </w:rPr>
              <w:t>Распределительный газопровод низкого давления</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940 / 120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 школа</w:t>
            </w:r>
          </w:p>
          <w:p>
            <w:pPr>
              <w:pStyle w:val="Normal"/>
              <w:jc w:val="center"/>
              <w:rPr>
                <w:sz w:val="16"/>
                <w:szCs w:val="16"/>
              </w:rPr>
            </w:pPr>
            <w:r>
              <w:rPr>
                <w:sz w:val="16"/>
                <w:szCs w:val="16"/>
              </w:rPr>
              <w:t>- д/сад</w:t>
            </w:r>
          </w:p>
          <w:p>
            <w:pPr>
              <w:pStyle w:val="Normal"/>
              <w:jc w:val="center"/>
              <w:rPr>
                <w:sz w:val="16"/>
                <w:szCs w:val="16"/>
              </w:rPr>
            </w:pPr>
            <w:r>
              <w:rPr>
                <w:sz w:val="16"/>
                <w:szCs w:val="16"/>
              </w:rPr>
              <w:t>- ФАП</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5,6</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bCs/>
                <w:sz w:val="16"/>
                <w:szCs w:val="16"/>
              </w:rPr>
              <w:t>Наличие ПСД, экспертизы</w:t>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21 725,1</w:t>
            </w:r>
          </w:p>
          <w:p>
            <w:pPr>
              <w:pStyle w:val="Normal"/>
              <w:rPr>
                <w:sz w:val="16"/>
                <w:szCs w:val="16"/>
              </w:rPr>
            </w:pPr>
            <w:r>
              <w:rPr>
                <w:sz w:val="16"/>
                <w:szCs w:val="16"/>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18 553,2</w:t>
            </w:r>
          </w:p>
          <w:p>
            <w:pPr>
              <w:pStyle w:val="Normal"/>
              <w:rPr>
                <w:sz w:val="16"/>
                <w:szCs w:val="16"/>
              </w:rPr>
            </w:pPr>
            <w:r>
              <w:rPr>
                <w:sz w:val="16"/>
                <w:szCs w:val="16"/>
              </w:rPr>
            </w:r>
          </w:p>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областной бюджет</w:t>
            </w:r>
          </w:p>
          <w:p>
            <w:pPr>
              <w:pStyle w:val="Normal"/>
              <w:jc w:val="center"/>
              <w:rPr>
                <w:sz w:val="16"/>
                <w:szCs w:val="16"/>
              </w:rPr>
            </w:pPr>
            <w:r>
              <w:rPr>
                <w:sz w:val="16"/>
                <w:szCs w:val="16"/>
              </w:rPr>
            </w:r>
          </w:p>
          <w:p>
            <w:pPr>
              <w:pStyle w:val="Normal"/>
              <w:jc w:val="center"/>
              <w:rPr>
                <w:sz w:val="16"/>
                <w:szCs w:val="16"/>
              </w:rPr>
            </w:pPr>
            <w:r>
              <w:rPr>
                <w:sz w:val="16"/>
                <w:szCs w:val="16"/>
              </w:rPr>
            </w:r>
          </w:p>
        </w:tc>
      </w:tr>
      <w:tr>
        <w:trPr>
          <w:trHeight w:val="660" w:hRule="atLeast"/>
          <w:cantSplit w:val="true"/>
        </w:trPr>
        <w:tc>
          <w:tcPr>
            <w:tcW w:w="43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r>
          </w:p>
        </w:tc>
        <w:tc>
          <w:tcPr>
            <w:tcW w:w="10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Cs/>
                <w:sz w:val="16"/>
                <w:szCs w:val="16"/>
              </w:rPr>
            </w:pPr>
            <w:r>
              <w:rPr>
                <w:bCs/>
                <w:sz w:val="16"/>
                <w:szCs w:val="16"/>
              </w:rPr>
            </w:r>
          </w:p>
        </w:tc>
        <w:tc>
          <w:tcPr>
            <w:tcW w:w="9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rPr>
              <w:t>3 171,9</w:t>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 xml:space="preserve">местный бюджет </w:t>
            </w:r>
          </w:p>
          <w:p>
            <w:pPr>
              <w:pStyle w:val="Normal"/>
              <w:jc w:val="center"/>
              <w:rPr>
                <w:sz w:val="16"/>
                <w:szCs w:val="16"/>
              </w:rPr>
            </w:pPr>
            <w:r>
              <w:rPr>
                <w:sz w:val="16"/>
                <w:szCs w:val="16"/>
              </w:rPr>
            </w:r>
          </w:p>
        </w:tc>
      </w:tr>
      <w:tr>
        <w:trPr>
          <w:trHeight w:val="630" w:hRule="atLeast"/>
          <w:cantSplit w:val="true"/>
        </w:trPr>
        <w:tc>
          <w:tcPr>
            <w:tcW w:w="43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Разработка проектно-сметной документации на газификацию х. Долотинка  Красносулинского района  Ростовской области. Распределительный газопровод низкого давления</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333 – чел.</w:t>
            </w:r>
          </w:p>
          <w:p>
            <w:pPr>
              <w:pStyle w:val="Normal"/>
              <w:jc w:val="center"/>
              <w:rPr>
                <w:sz w:val="16"/>
                <w:szCs w:val="16"/>
              </w:rPr>
            </w:pPr>
            <w:r>
              <w:rPr>
                <w:sz w:val="16"/>
                <w:szCs w:val="16"/>
              </w:rPr>
              <w:t>154 – жил. домов</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 клуб</w:t>
            </w:r>
          </w:p>
          <w:p>
            <w:pPr>
              <w:pStyle w:val="Normal"/>
              <w:jc w:val="center"/>
              <w:rPr>
                <w:sz w:val="16"/>
                <w:szCs w:val="16"/>
              </w:rPr>
            </w:pPr>
            <w:r>
              <w:rPr>
                <w:sz w:val="16"/>
                <w:szCs w:val="16"/>
              </w:rPr>
              <w:t>- ФАП</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14,0</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563,4</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471,1.</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областной бюджет</w:t>
            </w:r>
          </w:p>
          <w:p>
            <w:pPr>
              <w:pStyle w:val="Normal"/>
              <w:jc w:val="center"/>
              <w:rPr>
                <w:sz w:val="16"/>
                <w:szCs w:val="16"/>
              </w:rPr>
            </w:pPr>
            <w:r>
              <w:rPr>
                <w:sz w:val="16"/>
                <w:szCs w:val="16"/>
              </w:rPr>
            </w:r>
          </w:p>
        </w:tc>
      </w:tr>
      <w:tr>
        <w:trPr>
          <w:trHeight w:val="745" w:hRule="atLeast"/>
          <w:cantSplit w:val="true"/>
        </w:trPr>
        <w:tc>
          <w:tcPr>
            <w:tcW w:w="43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r>
          </w:p>
        </w:tc>
        <w:tc>
          <w:tcPr>
            <w:tcW w:w="10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92,3</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областной бюджет</w:t>
            </w:r>
          </w:p>
          <w:p>
            <w:pPr>
              <w:pStyle w:val="Normal"/>
              <w:jc w:val="center"/>
              <w:rPr>
                <w:sz w:val="16"/>
                <w:szCs w:val="16"/>
              </w:rPr>
            </w:pPr>
            <w:r>
              <w:rPr>
                <w:sz w:val="16"/>
                <w:szCs w:val="16"/>
              </w:rPr>
            </w:r>
          </w:p>
          <w:p>
            <w:pPr>
              <w:pStyle w:val="Normal"/>
              <w:jc w:val="center"/>
              <w:rPr>
                <w:sz w:val="16"/>
                <w:szCs w:val="16"/>
              </w:rPr>
            </w:pPr>
            <w:r>
              <w:rPr>
                <w:sz w:val="16"/>
                <w:szCs w:val="16"/>
              </w:rPr>
            </w:r>
          </w:p>
        </w:tc>
      </w:tr>
      <w:tr>
        <w:trPr>
          <w:trHeight w:val="645" w:hRule="atLeast"/>
          <w:cantSplit w:val="true"/>
        </w:trPr>
        <w:tc>
          <w:tcPr>
            <w:tcW w:w="43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13</w:t>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 xml:space="preserve">Газификация х. Долотинка </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333 – чел.</w:t>
            </w:r>
          </w:p>
          <w:p>
            <w:pPr>
              <w:pStyle w:val="Normal"/>
              <w:jc w:val="center"/>
              <w:rPr>
                <w:sz w:val="16"/>
                <w:szCs w:val="16"/>
              </w:rPr>
            </w:pPr>
            <w:r>
              <w:rPr>
                <w:sz w:val="16"/>
                <w:szCs w:val="16"/>
              </w:rPr>
              <w:t>154 – жил. домов</w:t>
            </w:r>
          </w:p>
          <w:p>
            <w:pPr>
              <w:pStyle w:val="Normal"/>
              <w:jc w:val="center"/>
              <w:rPr>
                <w:sz w:val="16"/>
                <w:szCs w:val="16"/>
              </w:rPr>
            </w:pPr>
            <w:r>
              <w:rPr>
                <w:sz w:val="16"/>
                <w:szCs w:val="16"/>
              </w:rPr>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 клуб</w:t>
            </w:r>
          </w:p>
          <w:p>
            <w:pPr>
              <w:pStyle w:val="Normal"/>
              <w:jc w:val="center"/>
              <w:rPr>
                <w:sz w:val="16"/>
                <w:szCs w:val="16"/>
              </w:rPr>
            </w:pPr>
            <w:r>
              <w:rPr>
                <w:sz w:val="16"/>
                <w:szCs w:val="16"/>
              </w:rPr>
              <w:t>- ФАП</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14,0</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bCs/>
                <w:sz w:val="16"/>
                <w:szCs w:val="16"/>
              </w:rPr>
            </w:pPr>
            <w:r>
              <w:rPr>
                <w:sz w:val="16"/>
                <w:szCs w:val="16"/>
              </w:rPr>
              <w:t>отсутствует</w:t>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54312,4</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5640,1</w:t>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40742,6</w:t>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областной бюджет</w:t>
            </w:r>
          </w:p>
          <w:p>
            <w:pPr>
              <w:pStyle w:val="Normal"/>
              <w:jc w:val="center"/>
              <w:rPr>
                <w:sz w:val="16"/>
                <w:szCs w:val="16"/>
              </w:rPr>
            </w:pPr>
            <w:r>
              <w:rPr>
                <w:sz w:val="16"/>
                <w:szCs w:val="16"/>
              </w:rPr>
            </w:r>
          </w:p>
          <w:p>
            <w:pPr>
              <w:pStyle w:val="Normal"/>
              <w:jc w:val="center"/>
              <w:rPr>
                <w:sz w:val="16"/>
                <w:szCs w:val="16"/>
              </w:rPr>
            </w:pPr>
            <w:r>
              <w:rPr>
                <w:sz w:val="16"/>
                <w:szCs w:val="16"/>
              </w:rPr>
            </w:r>
          </w:p>
        </w:tc>
      </w:tr>
      <w:tr>
        <w:trPr>
          <w:trHeight w:val="645" w:hRule="atLeast"/>
          <w:cantSplit w:val="true"/>
        </w:trPr>
        <w:tc>
          <w:tcPr>
            <w:tcW w:w="43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r>
          </w:p>
        </w:tc>
        <w:tc>
          <w:tcPr>
            <w:tcW w:w="10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964,2</w:t>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6965,38</w:t>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местный бюджет</w:t>
            </w:r>
          </w:p>
          <w:p>
            <w:pPr>
              <w:pStyle w:val="Normal"/>
              <w:jc w:val="center"/>
              <w:rPr>
                <w:sz w:val="16"/>
                <w:szCs w:val="16"/>
              </w:rPr>
            </w:pPr>
            <w:r>
              <w:rPr>
                <w:sz w:val="16"/>
                <w:szCs w:val="16"/>
              </w:rPr>
            </w:r>
          </w:p>
        </w:tc>
      </w:tr>
      <w:tr>
        <w:trPr>
          <w:trHeight w:val="690" w:hRule="atLeast"/>
          <w:cantSplit w:val="true"/>
        </w:trPr>
        <w:tc>
          <w:tcPr>
            <w:tcW w:w="43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Разработка проектно-сметной документации на газификацию х. Водин, х. Большое Зверево Красносулинского района  Ростовской области. Распределительный газопровод низкого давления</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53 - дома</w:t>
            </w:r>
          </w:p>
          <w:p>
            <w:pPr>
              <w:pStyle w:val="Normal"/>
              <w:jc w:val="center"/>
              <w:rPr>
                <w:sz w:val="16"/>
                <w:szCs w:val="16"/>
              </w:rPr>
            </w:pPr>
            <w:r>
              <w:rPr>
                <w:sz w:val="16"/>
                <w:szCs w:val="16"/>
              </w:rPr>
              <w:t>57  - чел.</w:t>
            </w:r>
          </w:p>
          <w:p>
            <w:pPr>
              <w:pStyle w:val="Normal"/>
              <w:jc w:val="center"/>
              <w:rPr>
                <w:sz w:val="16"/>
                <w:szCs w:val="16"/>
              </w:rPr>
            </w:pPr>
            <w:r>
              <w:rPr>
                <w:sz w:val="16"/>
                <w:szCs w:val="16"/>
              </w:rPr>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7,5</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96,4</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80,5</w:t>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областной бюджет</w:t>
            </w:r>
          </w:p>
          <w:p>
            <w:pPr>
              <w:pStyle w:val="Normal"/>
              <w:jc w:val="center"/>
              <w:rPr>
                <w:sz w:val="16"/>
                <w:szCs w:val="16"/>
              </w:rPr>
            </w:pPr>
            <w:r>
              <w:rPr>
                <w:sz w:val="16"/>
                <w:szCs w:val="16"/>
              </w:rPr>
            </w:r>
          </w:p>
        </w:tc>
      </w:tr>
      <w:tr>
        <w:trPr>
          <w:trHeight w:val="585" w:hRule="atLeast"/>
          <w:cantSplit w:val="true"/>
        </w:trPr>
        <w:tc>
          <w:tcPr>
            <w:tcW w:w="43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r>
          </w:p>
        </w:tc>
        <w:tc>
          <w:tcPr>
            <w:tcW w:w="10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15,8</w:t>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местный бюджет</w:t>
            </w:r>
          </w:p>
          <w:p>
            <w:pPr>
              <w:pStyle w:val="Normal"/>
              <w:jc w:val="center"/>
              <w:rPr>
                <w:sz w:val="16"/>
                <w:szCs w:val="16"/>
              </w:rPr>
            </w:pPr>
            <w:r>
              <w:rPr>
                <w:sz w:val="16"/>
                <w:szCs w:val="16"/>
              </w:rPr>
              <w:t xml:space="preserve"> </w:t>
            </w:r>
          </w:p>
          <w:p>
            <w:pPr>
              <w:pStyle w:val="Normal"/>
              <w:jc w:val="center"/>
              <w:rPr>
                <w:sz w:val="16"/>
                <w:szCs w:val="16"/>
              </w:rPr>
            </w:pPr>
            <w:r>
              <w:rPr>
                <w:sz w:val="16"/>
                <w:szCs w:val="16"/>
              </w:rPr>
            </w:r>
          </w:p>
        </w:tc>
      </w:tr>
      <w:tr>
        <w:trPr>
          <w:trHeight w:val="495" w:hRule="atLeast"/>
          <w:cantSplit w:val="true"/>
        </w:trPr>
        <w:tc>
          <w:tcPr>
            <w:tcW w:w="43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14</w:t>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Газификация х. Водин</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24 дома</w:t>
            </w:r>
          </w:p>
          <w:p>
            <w:pPr>
              <w:pStyle w:val="Normal"/>
              <w:jc w:val="center"/>
              <w:rPr>
                <w:sz w:val="16"/>
                <w:szCs w:val="16"/>
              </w:rPr>
            </w:pPr>
            <w:r>
              <w:rPr>
                <w:sz w:val="16"/>
                <w:szCs w:val="16"/>
              </w:rPr>
              <w:t>22 чел</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2,0</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отсутствует</w:t>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773,2</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660,3</w:t>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областной бюджет</w:t>
            </w:r>
          </w:p>
          <w:p>
            <w:pPr>
              <w:pStyle w:val="Normal"/>
              <w:jc w:val="center"/>
              <w:rPr>
                <w:sz w:val="16"/>
                <w:szCs w:val="16"/>
              </w:rPr>
            </w:pPr>
            <w:r>
              <w:rPr>
                <w:sz w:val="16"/>
                <w:szCs w:val="16"/>
              </w:rPr>
            </w:r>
          </w:p>
        </w:tc>
      </w:tr>
      <w:tr>
        <w:trPr>
          <w:trHeight w:val="795" w:hRule="atLeast"/>
          <w:cantSplit w:val="true"/>
        </w:trPr>
        <w:tc>
          <w:tcPr>
            <w:tcW w:w="43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r>
          </w:p>
        </w:tc>
        <w:tc>
          <w:tcPr>
            <w:tcW w:w="10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112,9</w:t>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местный бюджет</w:t>
            </w:r>
          </w:p>
          <w:p>
            <w:pPr>
              <w:pStyle w:val="Normal"/>
              <w:jc w:val="center"/>
              <w:rPr>
                <w:sz w:val="16"/>
                <w:szCs w:val="16"/>
              </w:rPr>
            </w:pPr>
            <w:r>
              <w:rPr>
                <w:sz w:val="16"/>
                <w:szCs w:val="16"/>
              </w:rPr>
              <w:t xml:space="preserve"> </w:t>
            </w:r>
          </w:p>
          <w:p>
            <w:pPr>
              <w:pStyle w:val="Normal"/>
              <w:jc w:val="center"/>
              <w:rPr>
                <w:sz w:val="16"/>
                <w:szCs w:val="16"/>
              </w:rPr>
            </w:pPr>
            <w:r>
              <w:rPr>
                <w:sz w:val="16"/>
                <w:szCs w:val="16"/>
              </w:rPr>
            </w:r>
          </w:p>
        </w:tc>
      </w:tr>
      <w:tr>
        <w:trPr>
          <w:trHeight w:val="705" w:hRule="atLeast"/>
          <w:cantSplit w:val="true"/>
        </w:trPr>
        <w:tc>
          <w:tcPr>
            <w:tcW w:w="43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15</w:t>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Газификация х. Большое Зверево</w:t>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29 домов</w:t>
            </w:r>
          </w:p>
          <w:p>
            <w:pPr>
              <w:pStyle w:val="Normal"/>
              <w:jc w:val="center"/>
              <w:rPr>
                <w:sz w:val="16"/>
                <w:szCs w:val="16"/>
              </w:rPr>
            </w:pPr>
            <w:r>
              <w:rPr>
                <w:sz w:val="16"/>
                <w:szCs w:val="16"/>
              </w:rPr>
              <w:t>34 чел</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w:t>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5,5</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отсутствует</w:t>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1 800,0</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1537,2</w:t>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областной бюджет</w:t>
            </w:r>
          </w:p>
          <w:p>
            <w:pPr>
              <w:pStyle w:val="Normal"/>
              <w:jc w:val="center"/>
              <w:rPr>
                <w:sz w:val="16"/>
                <w:szCs w:val="16"/>
              </w:rPr>
            </w:pPr>
            <w:r>
              <w:rPr>
                <w:sz w:val="16"/>
                <w:szCs w:val="16"/>
              </w:rPr>
            </w:r>
          </w:p>
          <w:p>
            <w:pPr>
              <w:pStyle w:val="Normal"/>
              <w:jc w:val="center"/>
              <w:rPr>
                <w:sz w:val="16"/>
                <w:szCs w:val="16"/>
              </w:rPr>
            </w:pPr>
            <w:r>
              <w:rPr>
                <w:sz w:val="16"/>
                <w:szCs w:val="16"/>
              </w:rPr>
            </w:r>
          </w:p>
        </w:tc>
      </w:tr>
      <w:tr>
        <w:trPr>
          <w:trHeight w:val="585" w:hRule="atLeast"/>
          <w:cantSplit w:val="true"/>
        </w:trPr>
        <w:tc>
          <w:tcPr>
            <w:tcW w:w="43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r>
          </w:p>
        </w:tc>
        <w:tc>
          <w:tcPr>
            <w:tcW w:w="10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104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262,8</w:t>
            </w:r>
          </w:p>
        </w:tc>
        <w:tc>
          <w:tcPr>
            <w:tcW w:w="897" w:type="dxa"/>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местный бюджет</w:t>
            </w:r>
          </w:p>
        </w:tc>
      </w:tr>
      <w:tr>
        <w:trPr>
          <w:trHeight w:val="285" w:hRule="atLeast"/>
          <w:cantSplit w:val="true"/>
        </w:trPr>
        <w:tc>
          <w:tcPr>
            <w:tcW w:w="436"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restart"/>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t>Межпоселковый газопровод  п. Алмазный - х. Долотинка.</w:t>
            </w:r>
          </w:p>
          <w:p>
            <w:pPr>
              <w:pStyle w:val="Normal"/>
              <w:rPr>
                <w:sz w:val="16"/>
                <w:szCs w:val="16"/>
              </w:rPr>
            </w:pPr>
            <w:r>
              <w:rPr>
                <w:sz w:val="16"/>
                <w:szCs w:val="16"/>
              </w:rPr>
            </w:r>
          </w:p>
        </w:tc>
        <w:tc>
          <w:tcPr>
            <w:tcW w:w="103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9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7 ,0</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отсутствует</w:t>
            </w:r>
          </w:p>
        </w:tc>
        <w:tc>
          <w:tcPr>
            <w:tcW w:w="9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2706,2</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2311,1</w:t>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областной бюджет</w:t>
            </w:r>
          </w:p>
          <w:p>
            <w:pPr>
              <w:pStyle w:val="Normal"/>
              <w:jc w:val="center"/>
              <w:rPr>
                <w:sz w:val="16"/>
                <w:szCs w:val="16"/>
              </w:rPr>
            </w:pPr>
            <w:r>
              <w:rPr>
                <w:sz w:val="16"/>
                <w:szCs w:val="16"/>
              </w:rPr>
            </w:r>
          </w:p>
        </w:tc>
      </w:tr>
      <w:tr>
        <w:trPr>
          <w:trHeight w:val="285" w:hRule="atLeast"/>
          <w:cantSplit w:val="true"/>
        </w:trPr>
        <w:tc>
          <w:tcPr>
            <w:tcW w:w="436"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vMerge w:val="continue"/>
            <w:tcBorders>
              <w:top w:val="single" w:sz="4" w:space="0" w:color="000000"/>
              <w:left w:val="single" w:sz="4" w:space="0" w:color="000000"/>
              <w:bottom w:val="single" w:sz="4" w:space="0" w:color="000000"/>
              <w:right w:val="single" w:sz="4" w:space="0" w:color="000000"/>
            </w:tcBorders>
          </w:tcPr>
          <w:p>
            <w:pPr>
              <w:pStyle w:val="Normal"/>
              <w:rPr>
                <w:sz w:val="16"/>
                <w:szCs w:val="16"/>
              </w:rPr>
            </w:pPr>
            <w:r>
              <w:rPr>
                <w:sz w:val="16"/>
                <w:szCs w:val="16"/>
              </w:rPr>
            </w:r>
          </w:p>
        </w:tc>
        <w:tc>
          <w:tcPr>
            <w:tcW w:w="103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9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90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395,1</w:t>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местный бюджет</w:t>
            </w:r>
          </w:p>
          <w:p>
            <w:pPr>
              <w:pStyle w:val="Normal"/>
              <w:jc w:val="center"/>
              <w:rPr>
                <w:sz w:val="16"/>
                <w:szCs w:val="16"/>
              </w:rPr>
            </w:pPr>
            <w:r>
              <w:rPr>
                <w:sz w:val="16"/>
                <w:szCs w:val="16"/>
              </w:rPr>
              <w:t xml:space="preserve"> </w:t>
            </w:r>
          </w:p>
          <w:p>
            <w:pPr>
              <w:pStyle w:val="Normal"/>
              <w:jc w:val="center"/>
              <w:rPr>
                <w:sz w:val="16"/>
                <w:szCs w:val="16"/>
              </w:rPr>
            </w:pPr>
            <w:r>
              <w:rPr>
                <w:sz w:val="16"/>
                <w:szCs w:val="16"/>
              </w:rPr>
            </w:r>
          </w:p>
        </w:tc>
      </w:tr>
      <w:tr>
        <w:trPr>
          <w:trHeight w:val="285" w:hRule="atLeast"/>
          <w:cantSplit w:val="true"/>
        </w:trPr>
        <w:tc>
          <w:tcPr>
            <w:tcW w:w="436"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c>
          <w:tcPr>
            <w:tcW w:w="2369" w:type="dxa"/>
            <w:tcBorders>
              <w:top w:val="single" w:sz="4" w:space="0" w:color="000000"/>
              <w:left w:val="single" w:sz="4" w:space="0" w:color="000000"/>
              <w:bottom w:val="single" w:sz="4" w:space="0" w:color="000000"/>
              <w:right w:val="single" w:sz="4" w:space="0" w:color="000000"/>
            </w:tcBorders>
          </w:tcPr>
          <w:p>
            <w:pPr>
              <w:pStyle w:val="Normal"/>
              <w:rPr>
                <w:b/>
                <w:sz w:val="16"/>
                <w:szCs w:val="16"/>
              </w:rPr>
            </w:pPr>
            <w:r>
              <w:rPr>
                <w:b/>
                <w:sz w:val="16"/>
                <w:szCs w:val="16"/>
              </w:rPr>
              <w:t>итого</w:t>
            </w:r>
          </w:p>
        </w:tc>
        <w:tc>
          <w:tcPr>
            <w:tcW w:w="103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598"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90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0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t>81976,7</w:t>
            </w:r>
          </w:p>
        </w:tc>
        <w:tc>
          <w:tcPr>
            <w:tcW w:w="10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21725,1</w:t>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rPr>
            </w:pPr>
            <w:r>
              <w:rPr>
                <w:sz w:val="16"/>
                <w:szCs w:val="16"/>
              </w:rPr>
            </w:r>
          </w:p>
        </w:tc>
        <w:tc>
          <w:tcPr>
            <w:tcW w:w="680" w:type="dxa"/>
            <w:tcBorders>
              <w:top w:val="single" w:sz="4" w:space="0" w:color="000000"/>
              <w:left w:val="single" w:sz="4" w:space="0" w:color="000000"/>
              <w:bottom w:val="single" w:sz="4" w:space="0" w:color="000000"/>
              <w:right w:val="single" w:sz="4" w:space="0" w:color="000000"/>
            </w:tcBorders>
            <w:vAlign w:val="center"/>
          </w:tcPr>
          <w:p>
            <w:pPr>
              <w:pStyle w:val="Normal"/>
              <w:rPr>
                <w:sz w:val="16"/>
                <w:szCs w:val="16"/>
                <w:u w:val="single"/>
              </w:rPr>
            </w:pPr>
            <w:r>
              <w:rPr>
                <w:sz w:val="16"/>
                <w:szCs w:val="16"/>
                <w:u w:val="single"/>
              </w:rPr>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563,4</w:t>
            </w:r>
          </w:p>
        </w:tc>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6604,3</w:t>
            </w:r>
          </w:p>
        </w:tc>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r>
          </w:p>
        </w:tc>
        <w:tc>
          <w:tcPr>
            <w:tcW w:w="95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47707,96</w:t>
            </w:r>
          </w:p>
        </w:tc>
        <w:tc>
          <w:tcPr>
            <w:tcW w:w="72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sz w:val="16"/>
                <w:szCs w:val="16"/>
              </w:rPr>
            </w:pPr>
            <w:r>
              <w:rPr>
                <w:sz w:val="16"/>
                <w:szCs w:val="16"/>
              </w:rPr>
              <w:t>96,3</w:t>
            </w:r>
          </w:p>
        </w:tc>
        <w:tc>
          <w:tcPr>
            <w:tcW w:w="1022"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t>47704,68</w:t>
            </w:r>
          </w:p>
        </w:tc>
        <w:tc>
          <w:tcPr>
            <w:tcW w:w="897" w:type="dxa"/>
            <w:tcBorders>
              <w:top w:val="single" w:sz="4" w:space="0" w:color="000000"/>
              <w:left w:val="single" w:sz="4" w:space="0" w:color="000000"/>
              <w:bottom w:val="single" w:sz="4" w:space="0" w:color="000000"/>
              <w:right w:val="single" w:sz="4" w:space="0" w:color="000000"/>
            </w:tcBorders>
          </w:tcPr>
          <w:p>
            <w:pPr>
              <w:pStyle w:val="Normal"/>
              <w:jc w:val="center"/>
              <w:rPr>
                <w:sz w:val="16"/>
                <w:szCs w:val="16"/>
              </w:rPr>
            </w:pPr>
            <w:r>
              <w:rPr>
                <w:sz w:val="16"/>
                <w:szCs w:val="16"/>
              </w:rPr>
            </w:r>
          </w:p>
        </w:tc>
      </w:tr>
    </w:tbl>
    <w:p>
      <w:pPr>
        <w:pStyle w:val="BodyText2"/>
        <w:spacing w:lineRule="auto" w:line="240" w:before="0" w:after="0"/>
        <w:ind w:left="709"/>
        <w:rPr>
          <w:bCs/>
          <w:sz w:val="16"/>
          <w:szCs w:val="16"/>
        </w:rPr>
      </w:pPr>
      <w:r>
        <w:rPr>
          <w:bCs/>
          <w:sz w:val="16"/>
          <w:szCs w:val="16"/>
        </w:rPr>
      </w:r>
    </w:p>
    <w:p>
      <w:pPr>
        <w:pStyle w:val="BodyText2"/>
        <w:spacing w:lineRule="auto" w:line="240" w:before="0" w:after="0"/>
        <w:ind w:left="709"/>
        <w:rPr>
          <w:bCs/>
          <w:sz w:val="20"/>
        </w:rPr>
      </w:pPr>
      <w:r>
        <w:rPr>
          <w:bCs/>
          <w:sz w:val="20"/>
        </w:rPr>
      </w:r>
    </w:p>
    <w:p>
      <w:pPr>
        <w:pStyle w:val="Normal"/>
        <w:rPr>
          <w:b/>
          <w:sz w:val="26"/>
          <w:szCs w:val="26"/>
        </w:rPr>
      </w:pPr>
      <w:r>
        <w:rPr>
          <w:b/>
          <w:sz w:val="26"/>
          <w:szCs w:val="26"/>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r>
    </w:p>
    <w:p>
      <w:pPr>
        <w:pStyle w:val="Normal"/>
        <w:jc w:val="right"/>
        <w:rPr/>
      </w:pPr>
      <w:r>
        <w:rPr/>
        <w:t>Приложение № 4</w:t>
      </w:r>
    </w:p>
    <w:p>
      <w:pPr>
        <w:pStyle w:val="Normal"/>
        <w:jc w:val="right"/>
        <w:rPr/>
      </w:pPr>
      <w:r>
        <w:rPr/>
      </w:r>
    </w:p>
    <w:p>
      <w:pPr>
        <w:pStyle w:val="Normal"/>
        <w:jc w:val="center"/>
        <w:rPr/>
      </w:pPr>
      <w:r>
        <w:rPr/>
        <w:t>ПРОГРАММА</w:t>
      </w:r>
    </w:p>
    <w:p>
      <w:pPr>
        <w:pStyle w:val="Normal"/>
        <w:jc w:val="center"/>
        <w:rPr>
          <w:sz w:val="26"/>
          <w:szCs w:val="26"/>
        </w:rPr>
      </w:pPr>
      <w:r>
        <w:rPr>
          <w:sz w:val="26"/>
          <w:szCs w:val="26"/>
        </w:rPr>
        <w:t xml:space="preserve">по малоэтажному  строительству </w:t>
      </w:r>
    </w:p>
    <w:p>
      <w:pPr>
        <w:pStyle w:val="Normal"/>
        <w:jc w:val="center"/>
        <w:rPr>
          <w:sz w:val="26"/>
          <w:szCs w:val="26"/>
        </w:rPr>
      </w:pPr>
      <w:r>
        <w:rPr>
          <w:sz w:val="26"/>
          <w:szCs w:val="26"/>
        </w:rPr>
        <w:t>в Долотинском сельском поселении на 2012-2029 годы</w:t>
      </w:r>
    </w:p>
    <w:p>
      <w:pPr>
        <w:pStyle w:val="Normal"/>
        <w:rPr/>
      </w:pPr>
      <w:r>
        <w:rPr/>
      </w:r>
    </w:p>
    <w:tbl>
      <w:tblPr>
        <w:tblW w:w="16131"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491"/>
        <w:gridCol w:w="2098"/>
        <w:gridCol w:w="1224"/>
        <w:gridCol w:w="1242"/>
        <w:gridCol w:w="656"/>
        <w:gridCol w:w="720"/>
        <w:gridCol w:w="900"/>
        <w:gridCol w:w="1037"/>
        <w:gridCol w:w="986"/>
        <w:gridCol w:w="795"/>
        <w:gridCol w:w="900"/>
        <w:gridCol w:w="933"/>
        <w:gridCol w:w="558"/>
        <w:gridCol w:w="998"/>
        <w:gridCol w:w="1007"/>
        <w:gridCol w:w="1582"/>
      </w:tblGrid>
      <w:tr>
        <w:trPr>
          <w:trHeight w:val="315" w:hRule="atLeast"/>
        </w:trPr>
        <w:tc>
          <w:tcPr>
            <w:tcW w:w="49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color w:val="000000"/>
                <w:sz w:val="20"/>
              </w:rPr>
            </w:pPr>
            <w:r>
              <w:rPr>
                <w:bCs/>
                <w:color w:val="000000"/>
                <w:sz w:val="20"/>
              </w:rPr>
              <w:t>№</w:t>
            </w:r>
          </w:p>
          <w:p>
            <w:pPr>
              <w:pStyle w:val="Normal"/>
              <w:jc w:val="center"/>
              <w:rPr>
                <w:bCs/>
                <w:color w:val="000000"/>
                <w:sz w:val="20"/>
              </w:rPr>
            </w:pPr>
            <w:r>
              <w:rPr>
                <w:bCs/>
                <w:color w:val="000000"/>
                <w:sz w:val="20"/>
              </w:rPr>
              <w:t>п/п</w:t>
            </w:r>
          </w:p>
        </w:tc>
        <w:tc>
          <w:tcPr>
            <w:tcW w:w="2098"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Наименование объекта</w:t>
            </w:r>
          </w:p>
        </w:tc>
        <w:tc>
          <w:tcPr>
            <w:tcW w:w="1224" w:type="dxa"/>
            <w:vMerge w:val="restart"/>
            <w:tcBorders>
              <w:top w:val="single" w:sz="4" w:space="0" w:color="000000"/>
              <w:bottom w:val="single" w:sz="4" w:space="0" w:color="000000"/>
              <w:right w:val="single" w:sz="4" w:space="0" w:color="000000"/>
            </w:tcBorders>
            <w:shd w:color="auto" w:fill="auto" w:val="clear"/>
          </w:tcPr>
          <w:p>
            <w:pPr>
              <w:pStyle w:val="Normal"/>
              <w:rPr>
                <w:color w:val="000000"/>
              </w:rPr>
            </w:pPr>
            <w:r>
              <w:rPr/>
              <w:t>тыс.м</w:t>
            </w:r>
            <w:r>
              <w:rPr>
                <w:vertAlign w:val="superscript"/>
              </w:rPr>
              <w:t>2</w:t>
            </w:r>
          </w:p>
        </w:tc>
        <w:tc>
          <w:tcPr>
            <w:tcW w:w="1242" w:type="dxa"/>
            <w:vMerge w:val="restart"/>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Сметная стоимость</w:t>
            </w:r>
          </w:p>
          <w:p>
            <w:pPr>
              <w:pStyle w:val="Normal"/>
              <w:rPr>
                <w:color w:val="000000"/>
                <w:sz w:val="20"/>
              </w:rPr>
            </w:pPr>
            <w:r>
              <w:rPr>
                <w:color w:val="000000"/>
                <w:sz w:val="20"/>
              </w:rPr>
              <w:t>(тыс. руб.)</w:t>
            </w:r>
          </w:p>
        </w:tc>
        <w:tc>
          <w:tcPr>
            <w:tcW w:w="8483" w:type="dxa"/>
            <w:gridSpan w:val="10"/>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Прогнозируемый план финансирования по годам,  тыс.руб.</w:t>
            </w:r>
          </w:p>
        </w:tc>
        <w:tc>
          <w:tcPr>
            <w:tcW w:w="10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Наличие ПСД</w:t>
              <w:br/>
              <w:t xml:space="preserve"> и экспертизы</w:t>
            </w:r>
          </w:p>
        </w:tc>
        <w:tc>
          <w:tcPr>
            <w:tcW w:w="158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t xml:space="preserve">Объем финансирования предполагаемый на последующий </w:t>
            </w:r>
          </w:p>
          <w:p>
            <w:pPr>
              <w:pStyle w:val="Normal"/>
              <w:jc w:val="center"/>
              <w:rPr>
                <w:color w:val="000000"/>
                <w:sz w:val="20"/>
              </w:rPr>
            </w:pPr>
            <w:r>
              <w:rPr>
                <w:color w:val="000000"/>
                <w:sz w:val="20"/>
              </w:rPr>
              <w:t xml:space="preserve"> </w:t>
            </w:r>
            <w:r>
              <w:rPr>
                <w:color w:val="000000"/>
                <w:sz w:val="20"/>
              </w:rPr>
              <w:t xml:space="preserve">период </w:t>
            </w:r>
          </w:p>
        </w:tc>
      </w:tr>
      <w:tr>
        <w:trPr>
          <w:trHeight w:val="679" w:hRule="atLeast"/>
        </w:trPr>
        <w:tc>
          <w:tcPr>
            <w:tcW w:w="491" w:type="dxa"/>
            <w:vMerge w:val="continue"/>
            <w:tcBorders>
              <w:left w:val="single" w:sz="4" w:space="0" w:color="000000"/>
              <w:bottom w:val="single" w:sz="4" w:space="0" w:color="000000"/>
              <w:right w:val="single" w:sz="4" w:space="0" w:color="000000"/>
            </w:tcBorders>
            <w:shd w:color="auto" w:fill="auto" w:val="clear"/>
          </w:tcPr>
          <w:p>
            <w:pPr>
              <w:pStyle w:val="Normal"/>
              <w:jc w:val="center"/>
              <w:rPr>
                <w:bCs/>
                <w:color w:val="000000"/>
                <w:sz w:val="20"/>
              </w:rPr>
            </w:pPr>
            <w:r>
              <w:rPr>
                <w:bCs/>
                <w:color w:val="000000"/>
                <w:sz w:val="20"/>
              </w:rPr>
            </w:r>
          </w:p>
        </w:tc>
        <w:tc>
          <w:tcPr>
            <w:tcW w:w="2098"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r>
          </w:p>
        </w:tc>
        <w:tc>
          <w:tcPr>
            <w:tcW w:w="1224" w:type="dxa"/>
            <w:vMerge w:val="continue"/>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r>
          </w:p>
        </w:tc>
        <w:tc>
          <w:tcPr>
            <w:tcW w:w="1242" w:type="dxa"/>
            <w:vMerge w:val="continue"/>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r>
          </w:p>
        </w:tc>
        <w:tc>
          <w:tcPr>
            <w:tcW w:w="656" w:type="dxa"/>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2012</w:t>
            </w:r>
          </w:p>
        </w:tc>
        <w:tc>
          <w:tcPr>
            <w:tcW w:w="720" w:type="dxa"/>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2013</w:t>
            </w:r>
          </w:p>
        </w:tc>
        <w:tc>
          <w:tcPr>
            <w:tcW w:w="900" w:type="dxa"/>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 xml:space="preserve">2014 </w:t>
            </w:r>
          </w:p>
        </w:tc>
        <w:tc>
          <w:tcPr>
            <w:tcW w:w="1037" w:type="dxa"/>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2015</w:t>
            </w:r>
          </w:p>
        </w:tc>
        <w:tc>
          <w:tcPr>
            <w:tcW w:w="986" w:type="dxa"/>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2016</w:t>
            </w:r>
          </w:p>
        </w:tc>
        <w:tc>
          <w:tcPr>
            <w:tcW w:w="795" w:type="dxa"/>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2017</w:t>
            </w:r>
          </w:p>
        </w:tc>
        <w:tc>
          <w:tcPr>
            <w:tcW w:w="900" w:type="dxa"/>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2018</w:t>
            </w:r>
          </w:p>
        </w:tc>
        <w:tc>
          <w:tcPr>
            <w:tcW w:w="933" w:type="dxa"/>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2019</w:t>
            </w:r>
          </w:p>
        </w:tc>
        <w:tc>
          <w:tcPr>
            <w:tcW w:w="55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57"/>
              <w:jc w:val="center"/>
              <w:rPr>
                <w:color w:val="000000"/>
                <w:sz w:val="20"/>
              </w:rPr>
            </w:pPr>
            <w:r>
              <w:rPr>
                <w:color w:val="000000"/>
                <w:sz w:val="20"/>
              </w:rPr>
              <w:t>2020</w:t>
            </w:r>
          </w:p>
        </w:tc>
        <w:tc>
          <w:tcPr>
            <w:tcW w:w="99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57"/>
              <w:jc w:val="center"/>
              <w:rPr>
                <w:color w:val="000000"/>
                <w:sz w:val="20"/>
              </w:rPr>
            </w:pPr>
            <w:r>
              <w:rPr>
                <w:color w:val="000000"/>
                <w:sz w:val="20"/>
              </w:rPr>
              <w:t>План до 2029</w:t>
            </w:r>
          </w:p>
        </w:tc>
        <w:tc>
          <w:tcPr>
            <w:tcW w:w="1007" w:type="dxa"/>
            <w:vMerge w:val="continue"/>
            <w:tcBorders>
              <w:left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r>
          </w:p>
        </w:tc>
        <w:tc>
          <w:tcPr>
            <w:tcW w:w="1582" w:type="dxa"/>
            <w:vMerge w:val="continue"/>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r>
          </w:p>
        </w:tc>
      </w:tr>
      <w:tr>
        <w:trPr>
          <w:trHeight w:val="315" w:hRule="atLeast"/>
        </w:trPr>
        <w:tc>
          <w:tcPr>
            <w:tcW w:w="4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1</w:t>
            </w:r>
          </w:p>
        </w:tc>
        <w:tc>
          <w:tcPr>
            <w:tcW w:w="2098"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t>2</w:t>
            </w:r>
          </w:p>
        </w:tc>
        <w:tc>
          <w:tcPr>
            <w:tcW w:w="1224" w:type="dxa"/>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t>3</w:t>
            </w:r>
          </w:p>
        </w:tc>
        <w:tc>
          <w:tcPr>
            <w:tcW w:w="1242" w:type="dxa"/>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t>4</w:t>
            </w:r>
          </w:p>
        </w:tc>
        <w:tc>
          <w:tcPr>
            <w:tcW w:w="656"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5</w:t>
            </w:r>
          </w:p>
        </w:tc>
        <w:tc>
          <w:tcPr>
            <w:tcW w:w="720"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6</w:t>
            </w:r>
          </w:p>
        </w:tc>
        <w:tc>
          <w:tcPr>
            <w:tcW w:w="900"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7</w:t>
            </w:r>
          </w:p>
        </w:tc>
        <w:tc>
          <w:tcPr>
            <w:tcW w:w="1037"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8</w:t>
            </w:r>
          </w:p>
        </w:tc>
        <w:tc>
          <w:tcPr>
            <w:tcW w:w="986"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9</w:t>
            </w:r>
          </w:p>
        </w:tc>
        <w:tc>
          <w:tcPr>
            <w:tcW w:w="795"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10</w:t>
            </w:r>
          </w:p>
        </w:tc>
        <w:tc>
          <w:tcPr>
            <w:tcW w:w="900"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11</w:t>
            </w:r>
          </w:p>
        </w:tc>
        <w:tc>
          <w:tcPr>
            <w:tcW w:w="933"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12</w:t>
            </w:r>
          </w:p>
        </w:tc>
        <w:tc>
          <w:tcPr>
            <w:tcW w:w="558"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13</w:t>
            </w:r>
          </w:p>
        </w:tc>
        <w:tc>
          <w:tcPr>
            <w:tcW w:w="998" w:type="dxa"/>
            <w:tcBorders>
              <w:bottom w:val="single" w:sz="4" w:space="0" w:color="000000"/>
              <w:right w:val="single" w:sz="4" w:space="0" w:color="000000"/>
            </w:tcBorders>
            <w:shd w:color="auto" w:fill="auto" w:val="clear"/>
          </w:tcPr>
          <w:p>
            <w:pPr>
              <w:pStyle w:val="Normal"/>
              <w:rPr>
                <w:color w:val="000000"/>
                <w:sz w:val="20"/>
              </w:rPr>
            </w:pPr>
            <w:r>
              <w:rPr>
                <w:color w:val="000000"/>
                <w:sz w:val="20"/>
              </w:rPr>
              <w:t>15</w:t>
            </w:r>
          </w:p>
        </w:tc>
        <w:tc>
          <w:tcPr>
            <w:tcW w:w="1007"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17</w:t>
            </w:r>
          </w:p>
        </w:tc>
        <w:tc>
          <w:tcPr>
            <w:tcW w:w="1582"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18</w:t>
            </w:r>
          </w:p>
        </w:tc>
      </w:tr>
      <w:tr>
        <w:trPr>
          <w:trHeight w:val="675" w:hRule="atLeast"/>
        </w:trPr>
        <w:tc>
          <w:tcPr>
            <w:tcW w:w="491" w:type="dxa"/>
            <w:vMerge w:val="restart"/>
            <w:tcBorders>
              <w:left w:val="single" w:sz="4" w:space="0" w:color="000000"/>
              <w:bottom w:val="single" w:sz="4" w:space="0" w:color="000000"/>
              <w:right w:val="single" w:sz="4" w:space="0" w:color="000000"/>
            </w:tcBorders>
            <w:shd w:color="auto" w:fill="auto" w:val="clear"/>
          </w:tcPr>
          <w:p>
            <w:pPr>
              <w:pStyle w:val="Normal"/>
              <w:jc w:val="center"/>
              <w:rPr>
                <w:bCs/>
                <w:color w:val="000000"/>
                <w:sz w:val="20"/>
              </w:rPr>
            </w:pPr>
            <w:r>
              <w:rPr>
                <w:bCs/>
                <w:color w:val="000000"/>
                <w:sz w:val="20"/>
              </w:rPr>
            </w:r>
          </w:p>
        </w:tc>
        <w:tc>
          <w:tcPr>
            <w:tcW w:w="2098" w:type="dxa"/>
            <w:vMerge w:val="restart"/>
            <w:tcBorders>
              <w:top w:val="single" w:sz="4" w:space="0" w:color="000000"/>
              <w:bottom w:val="single" w:sz="4" w:space="0" w:color="000000"/>
              <w:right w:val="single" w:sz="4" w:space="0" w:color="000000"/>
            </w:tcBorders>
            <w:shd w:color="auto" w:fill="auto" w:val="clear"/>
          </w:tcPr>
          <w:p>
            <w:pPr>
              <w:pStyle w:val="Normal"/>
              <w:rPr>
                <w:color w:val="000000"/>
                <w:sz w:val="20"/>
              </w:rPr>
            </w:pPr>
            <w:r>
              <w:rPr>
                <w:color w:val="000000"/>
                <w:sz w:val="20"/>
              </w:rPr>
              <w:t> </w:t>
            </w:r>
            <w:r>
              <w:rPr>
                <w:color w:val="000000"/>
                <w:sz w:val="20"/>
              </w:rPr>
              <w:t>Строительство малоэтажной застройки (с учетом подводящих коммуникаций)</w:t>
            </w:r>
          </w:p>
        </w:tc>
        <w:tc>
          <w:tcPr>
            <w:tcW w:w="1224" w:type="dxa"/>
            <w:vMerge w:val="restart"/>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t>11,8</w:t>
            </w:r>
          </w:p>
        </w:tc>
        <w:tc>
          <w:tcPr>
            <w:tcW w:w="1242" w:type="dxa"/>
            <w:vMerge w:val="restart"/>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t>306800,0</w:t>
            </w:r>
          </w:p>
        </w:tc>
        <w:tc>
          <w:tcPr>
            <w:tcW w:w="656" w:type="dxa"/>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r>
          </w:p>
        </w:tc>
        <w:tc>
          <w:tcPr>
            <w:tcW w:w="720" w:type="dxa"/>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r>
          </w:p>
        </w:tc>
        <w:tc>
          <w:tcPr>
            <w:tcW w:w="900" w:type="dxa"/>
            <w:tcBorders>
              <w:bottom w:val="single" w:sz="4" w:space="0" w:color="000000"/>
              <w:right w:val="single" w:sz="4" w:space="0" w:color="000000"/>
            </w:tcBorders>
            <w:shd w:color="auto" w:fill="auto" w:val="clear"/>
            <w:vAlign w:val="center"/>
          </w:tcPr>
          <w:p>
            <w:pPr>
              <w:pStyle w:val="Normal"/>
              <w:rPr>
                <w:bCs/>
                <w:color w:val="000000"/>
                <w:sz w:val="20"/>
              </w:rPr>
            </w:pPr>
            <w:r>
              <w:rPr>
                <w:bCs/>
                <w:color w:val="000000"/>
                <w:sz w:val="20"/>
              </w:rPr>
              <w:t>11067,8</w:t>
            </w:r>
          </w:p>
        </w:tc>
        <w:tc>
          <w:tcPr>
            <w:tcW w:w="1037" w:type="dxa"/>
            <w:tcBorders>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50359,4</w:t>
            </w:r>
          </w:p>
        </w:tc>
        <w:tc>
          <w:tcPr>
            <w:tcW w:w="986" w:type="dxa"/>
            <w:tcBorders>
              <w:bottom w:val="single" w:sz="4" w:space="0" w:color="000000"/>
              <w:right w:val="single" w:sz="4" w:space="0" w:color="000000"/>
            </w:tcBorders>
            <w:shd w:color="auto" w:fill="auto" w:val="clear"/>
            <w:vAlign w:val="center"/>
          </w:tcPr>
          <w:p>
            <w:pPr>
              <w:pStyle w:val="Normal"/>
              <w:rPr>
                <w:bCs/>
                <w:color w:val="000000"/>
                <w:sz w:val="20"/>
              </w:rPr>
            </w:pPr>
            <w:r>
              <w:rPr>
                <w:bCs/>
                <w:color w:val="000000"/>
                <w:sz w:val="20"/>
              </w:rPr>
              <w:t>67172,8</w:t>
            </w:r>
          </w:p>
        </w:tc>
        <w:tc>
          <w:tcPr>
            <w:tcW w:w="795" w:type="dxa"/>
            <w:tcBorders>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42700</w:t>
            </w:r>
          </w:p>
        </w:tc>
        <w:tc>
          <w:tcPr>
            <w:tcW w:w="900" w:type="dxa"/>
            <w:tcBorders>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r>
          </w:p>
        </w:tc>
        <w:tc>
          <w:tcPr>
            <w:tcW w:w="933" w:type="dxa"/>
            <w:tcBorders>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42898,1</w:t>
            </w:r>
          </w:p>
        </w:tc>
        <w:tc>
          <w:tcPr>
            <w:tcW w:w="558" w:type="dxa"/>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r>
          </w:p>
        </w:tc>
        <w:tc>
          <w:tcPr>
            <w:tcW w:w="998" w:type="dxa"/>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t>73458,4</w:t>
            </w:r>
          </w:p>
        </w:tc>
        <w:tc>
          <w:tcPr>
            <w:tcW w:w="1007" w:type="dxa"/>
            <w:tcBorders>
              <w:bottom w:val="single" w:sz="4" w:space="0" w:color="000000"/>
              <w:right w:val="single" w:sz="4" w:space="0" w:color="000000"/>
            </w:tcBorders>
            <w:shd w:color="auto" w:fill="auto" w:val="clear"/>
          </w:tcPr>
          <w:p>
            <w:pPr>
              <w:pStyle w:val="Normal"/>
              <w:jc w:val="center"/>
              <w:rPr>
                <w:color w:val="000000"/>
                <w:sz w:val="20"/>
              </w:rPr>
            </w:pPr>
            <w:r>
              <w:rPr>
                <w:color w:val="000000"/>
                <w:sz w:val="20"/>
              </w:rPr>
              <w:t>отсутствует</w:t>
            </w:r>
          </w:p>
        </w:tc>
        <w:tc>
          <w:tcPr>
            <w:tcW w:w="1582" w:type="dxa"/>
            <w:tcBorders>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областной бюджет</w:t>
            </w:r>
          </w:p>
        </w:tc>
      </w:tr>
      <w:tr>
        <w:trPr>
          <w:trHeight w:val="600" w:hRule="atLeast"/>
        </w:trPr>
        <w:tc>
          <w:tcPr>
            <w:tcW w:w="491" w:type="dxa"/>
            <w:vMerge w:val="continue"/>
            <w:tcBorders>
              <w:left w:val="single" w:sz="4" w:space="0" w:color="000000"/>
              <w:bottom w:val="single" w:sz="4" w:space="0" w:color="000000"/>
              <w:right w:val="single" w:sz="4" w:space="0" w:color="000000"/>
            </w:tcBorders>
            <w:shd w:color="auto" w:fill="auto" w:val="clear"/>
          </w:tcPr>
          <w:p>
            <w:pPr>
              <w:pStyle w:val="Normal"/>
              <w:jc w:val="center"/>
              <w:rPr>
                <w:bCs/>
                <w:color w:val="000000"/>
                <w:sz w:val="20"/>
              </w:rPr>
            </w:pPr>
            <w:r>
              <w:rPr>
                <w:bCs/>
                <w:color w:val="000000"/>
                <w:sz w:val="20"/>
              </w:rPr>
            </w:r>
          </w:p>
        </w:tc>
        <w:tc>
          <w:tcPr>
            <w:tcW w:w="2098" w:type="dxa"/>
            <w:vMerge w:val="continue"/>
            <w:tcBorders>
              <w:bottom w:val="single" w:sz="4" w:space="0" w:color="000000"/>
              <w:right w:val="single" w:sz="4" w:space="0" w:color="000000"/>
            </w:tcBorders>
            <w:shd w:color="auto" w:fill="auto" w:val="clear"/>
          </w:tcPr>
          <w:p>
            <w:pPr>
              <w:pStyle w:val="Normal"/>
              <w:rPr>
                <w:color w:val="000000"/>
                <w:sz w:val="20"/>
              </w:rPr>
            </w:pPr>
            <w:r>
              <w:rPr>
                <w:color w:val="000000"/>
                <w:sz w:val="20"/>
              </w:rPr>
            </w:r>
          </w:p>
        </w:tc>
        <w:tc>
          <w:tcPr>
            <w:tcW w:w="1224" w:type="dxa"/>
            <w:vMerge w:val="continue"/>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r>
          </w:p>
        </w:tc>
        <w:tc>
          <w:tcPr>
            <w:tcW w:w="1242" w:type="dxa"/>
            <w:vMerge w:val="continue"/>
            <w:tcBorders>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r>
          </w:p>
        </w:tc>
        <w:tc>
          <w:tcPr>
            <w:tcW w:w="656"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r>
          </w:p>
        </w:tc>
        <w:tc>
          <w:tcPr>
            <w:tcW w:w="720"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r>
          </w:p>
        </w:tc>
        <w:tc>
          <w:tcPr>
            <w:tcW w:w="900" w:type="dxa"/>
            <w:tcBorders>
              <w:top w:val="single" w:sz="4" w:space="0" w:color="000000"/>
              <w:bottom w:val="single" w:sz="4" w:space="0" w:color="000000"/>
              <w:right w:val="single" w:sz="4" w:space="0" w:color="000000"/>
            </w:tcBorders>
            <w:shd w:color="auto" w:fill="auto" w:val="clear"/>
            <w:vAlign w:val="center"/>
          </w:tcPr>
          <w:p>
            <w:pPr>
              <w:pStyle w:val="Normal"/>
              <w:rPr>
                <w:bCs/>
                <w:color w:val="000000"/>
                <w:sz w:val="20"/>
              </w:rPr>
            </w:pPr>
            <w:r>
              <w:rPr>
                <w:bCs/>
                <w:color w:val="000000"/>
                <w:sz w:val="20"/>
              </w:rPr>
              <w:t>1892,0</w:t>
            </w:r>
          </w:p>
        </w:tc>
        <w:tc>
          <w:tcPr>
            <w:tcW w:w="1037" w:type="dxa"/>
            <w:tcBorders>
              <w:top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8609,3</w:t>
            </w:r>
          </w:p>
        </w:tc>
        <w:tc>
          <w:tcPr>
            <w:tcW w:w="986" w:type="dxa"/>
            <w:tcBorders>
              <w:top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12588,9</w:t>
            </w:r>
          </w:p>
        </w:tc>
        <w:tc>
          <w:tcPr>
            <w:tcW w:w="795" w:type="dxa"/>
            <w:tcBorders>
              <w:top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7300</w:t>
            </w:r>
          </w:p>
        </w:tc>
        <w:tc>
          <w:tcPr>
            <w:tcW w:w="900" w:type="dxa"/>
            <w:tcBorders>
              <w:top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73333,8</w:t>
            </w:r>
          </w:p>
        </w:tc>
        <w:tc>
          <w:tcPr>
            <w:tcW w:w="558"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r>
          </w:p>
        </w:tc>
        <w:tc>
          <w:tcPr>
            <w:tcW w:w="998" w:type="dxa"/>
            <w:tcBorders>
              <w:top w:val="single" w:sz="4" w:space="0" w:color="000000"/>
              <w:bottom w:val="single" w:sz="4" w:space="0" w:color="000000"/>
              <w:right w:val="single" w:sz="4" w:space="0" w:color="000000"/>
            </w:tcBorders>
            <w:shd w:color="auto" w:fill="auto" w:val="clear"/>
            <w:vAlign w:val="center"/>
          </w:tcPr>
          <w:p>
            <w:pPr>
              <w:pStyle w:val="Normal"/>
              <w:jc w:val="center"/>
              <w:rPr>
                <w:color w:val="000000"/>
                <w:sz w:val="20"/>
              </w:rPr>
            </w:pPr>
            <w:r>
              <w:rPr>
                <w:color w:val="000000"/>
                <w:sz w:val="20"/>
              </w:rPr>
              <w:t>7971,6</w:t>
            </w:r>
          </w:p>
        </w:tc>
        <w:tc>
          <w:tcPr>
            <w:tcW w:w="1007" w:type="dxa"/>
            <w:tcBorders>
              <w:top w:val="single" w:sz="4" w:space="0" w:color="000000"/>
              <w:bottom w:val="single" w:sz="4" w:space="0" w:color="000000"/>
              <w:right w:val="single" w:sz="4" w:space="0" w:color="000000"/>
            </w:tcBorders>
            <w:shd w:color="auto" w:fill="auto" w:val="clear"/>
          </w:tcPr>
          <w:p>
            <w:pPr>
              <w:pStyle w:val="Normal"/>
              <w:jc w:val="center"/>
              <w:rPr>
                <w:color w:val="000000"/>
                <w:sz w:val="20"/>
              </w:rPr>
            </w:pPr>
            <w:r>
              <w:rPr>
                <w:color w:val="000000"/>
                <w:sz w:val="20"/>
              </w:rPr>
              <w:t>отсутствует</w:t>
            </w:r>
          </w:p>
        </w:tc>
        <w:tc>
          <w:tcPr>
            <w:tcW w:w="1582" w:type="dxa"/>
            <w:tcBorders>
              <w:top w:val="single" w:sz="4" w:space="0" w:color="000000"/>
              <w:bottom w:val="single" w:sz="4" w:space="0" w:color="000000"/>
              <w:right w:val="single" w:sz="4" w:space="0" w:color="000000"/>
            </w:tcBorders>
            <w:shd w:color="auto" w:fill="auto" w:val="clear"/>
            <w:vAlign w:val="center"/>
          </w:tcPr>
          <w:p>
            <w:pPr>
              <w:pStyle w:val="Normal"/>
              <w:jc w:val="center"/>
              <w:rPr>
                <w:bCs/>
                <w:color w:val="000000"/>
                <w:sz w:val="20"/>
              </w:rPr>
            </w:pPr>
            <w:r>
              <w:rPr>
                <w:bCs/>
                <w:color w:val="000000"/>
                <w:sz w:val="20"/>
              </w:rPr>
              <w:t>местный бюджет</w:t>
            </w:r>
          </w:p>
        </w:tc>
      </w:tr>
      <w:tr>
        <w:trPr>
          <w:trHeight w:val="600" w:hRule="atLeast"/>
        </w:trPr>
        <w:tc>
          <w:tcPr>
            <w:tcW w:w="491"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bCs/>
                <w:color w:val="000000"/>
                <w:sz w:val="20"/>
              </w:rPr>
            </w:pPr>
            <w:r>
              <w:rPr>
                <w:bCs/>
                <w:color w:val="000000"/>
                <w:sz w:val="20"/>
              </w:rPr>
            </w:r>
          </w:p>
        </w:tc>
        <w:tc>
          <w:tcPr>
            <w:tcW w:w="2098" w:type="dxa"/>
            <w:tcBorders>
              <w:top w:val="single" w:sz="4" w:space="0" w:color="000000"/>
              <w:bottom w:val="single" w:sz="4" w:space="0" w:color="000000"/>
              <w:right w:val="single" w:sz="4" w:space="0" w:color="000000"/>
            </w:tcBorders>
            <w:shd w:color="auto" w:fill="auto" w:val="clear"/>
            <w:vAlign w:val="center"/>
          </w:tcPr>
          <w:p>
            <w:pPr>
              <w:pStyle w:val="Normal"/>
              <w:jc w:val="center"/>
              <w:rPr>
                <w:b/>
                <w:color w:val="000000"/>
                <w:sz w:val="20"/>
              </w:rPr>
            </w:pPr>
            <w:r>
              <w:rPr>
                <w:b/>
                <w:color w:val="000000"/>
                <w:sz w:val="20"/>
              </w:rPr>
              <w:t>итого</w:t>
            </w:r>
          </w:p>
        </w:tc>
        <w:tc>
          <w:tcPr>
            <w:tcW w:w="1224" w:type="dxa"/>
            <w:tcBorders>
              <w:top w:val="single" w:sz="4" w:space="0" w:color="000000"/>
              <w:bottom w:val="single" w:sz="4" w:space="0" w:color="000000"/>
              <w:right w:val="single" w:sz="4" w:space="0" w:color="000000"/>
            </w:tcBorders>
            <w:shd w:color="auto" w:fill="auto" w:val="clear"/>
            <w:vAlign w:val="center"/>
          </w:tcPr>
          <w:p>
            <w:pPr>
              <w:pStyle w:val="Normal"/>
              <w:jc w:val="center"/>
              <w:rPr>
                <w:b/>
                <w:color w:val="000000"/>
                <w:sz w:val="20"/>
              </w:rPr>
            </w:pPr>
            <w:r>
              <w:rPr>
                <w:b/>
                <w:color w:val="000000"/>
                <w:sz w:val="20"/>
              </w:rPr>
              <w:t>11,8</w:t>
            </w:r>
          </w:p>
        </w:tc>
        <w:tc>
          <w:tcPr>
            <w:tcW w:w="1242" w:type="dxa"/>
            <w:tcBorders>
              <w:top w:val="single" w:sz="4" w:space="0" w:color="000000"/>
              <w:bottom w:val="single" w:sz="4" w:space="0" w:color="000000"/>
              <w:right w:val="single" w:sz="4" w:space="0" w:color="000000"/>
            </w:tcBorders>
            <w:shd w:color="auto" w:fill="auto" w:val="clear"/>
            <w:vAlign w:val="center"/>
          </w:tcPr>
          <w:p>
            <w:pPr>
              <w:pStyle w:val="Normal"/>
              <w:jc w:val="center"/>
              <w:rPr>
                <w:b/>
                <w:color w:val="000000"/>
                <w:sz w:val="20"/>
              </w:rPr>
            </w:pPr>
            <w:r>
              <w:rPr>
                <w:b/>
                <w:color w:val="000000"/>
                <w:sz w:val="20"/>
              </w:rPr>
              <w:t>306800,0</w:t>
            </w:r>
          </w:p>
        </w:tc>
        <w:tc>
          <w:tcPr>
            <w:tcW w:w="656" w:type="dxa"/>
            <w:tcBorders>
              <w:top w:val="single" w:sz="4" w:space="0" w:color="000000"/>
              <w:bottom w:val="single" w:sz="4" w:space="0" w:color="000000"/>
              <w:right w:val="single" w:sz="4" w:space="0" w:color="000000"/>
            </w:tcBorders>
            <w:shd w:color="auto" w:fill="auto" w:val="clear"/>
            <w:vAlign w:val="center"/>
          </w:tcPr>
          <w:p>
            <w:pPr>
              <w:pStyle w:val="Normal"/>
              <w:jc w:val="center"/>
              <w:rPr>
                <w:b/>
                <w:color w:val="000000"/>
                <w:sz w:val="20"/>
              </w:rPr>
            </w:pPr>
            <w:r>
              <w:rPr>
                <w:b/>
                <w:color w:val="000000"/>
                <w:sz w:val="20"/>
              </w:rPr>
            </w:r>
          </w:p>
        </w:tc>
        <w:tc>
          <w:tcPr>
            <w:tcW w:w="720" w:type="dxa"/>
            <w:tcBorders>
              <w:top w:val="single" w:sz="4" w:space="0" w:color="000000"/>
              <w:bottom w:val="single" w:sz="4" w:space="0" w:color="000000"/>
              <w:right w:val="single" w:sz="4" w:space="0" w:color="000000"/>
            </w:tcBorders>
            <w:shd w:color="auto" w:fill="auto" w:val="clear"/>
            <w:vAlign w:val="center"/>
          </w:tcPr>
          <w:p>
            <w:pPr>
              <w:pStyle w:val="Normal"/>
              <w:jc w:val="center"/>
              <w:rPr>
                <w:b/>
                <w:color w:val="000000"/>
                <w:sz w:val="20"/>
              </w:rPr>
            </w:pPr>
            <w:r>
              <w:rPr>
                <w:b/>
                <w:color w:val="000000"/>
                <w:sz w:val="20"/>
              </w:rPr>
            </w:r>
          </w:p>
        </w:tc>
        <w:tc>
          <w:tcPr>
            <w:tcW w:w="900"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color w:val="000000"/>
                <w:sz w:val="20"/>
              </w:rPr>
            </w:pPr>
            <w:r>
              <w:rPr>
                <w:b/>
                <w:bCs/>
                <w:color w:val="000000"/>
                <w:sz w:val="20"/>
              </w:rPr>
              <w:t>12960</w:t>
            </w:r>
          </w:p>
        </w:tc>
        <w:tc>
          <w:tcPr>
            <w:tcW w:w="1037"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color w:val="000000"/>
                <w:sz w:val="20"/>
              </w:rPr>
            </w:pPr>
            <w:r>
              <w:rPr>
                <w:b/>
                <w:bCs/>
                <w:color w:val="000000"/>
                <w:sz w:val="20"/>
              </w:rPr>
              <w:t>58968,9</w:t>
            </w:r>
          </w:p>
        </w:tc>
        <w:tc>
          <w:tcPr>
            <w:tcW w:w="986"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color w:val="000000"/>
                <w:sz w:val="20"/>
              </w:rPr>
            </w:pPr>
            <w:r>
              <w:rPr>
                <w:b/>
                <w:bCs/>
                <w:color w:val="000000"/>
                <w:sz w:val="20"/>
              </w:rPr>
              <w:t>79761,8</w:t>
            </w:r>
          </w:p>
        </w:tc>
        <w:tc>
          <w:tcPr>
            <w:tcW w:w="795"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color w:val="000000"/>
                <w:sz w:val="20"/>
              </w:rPr>
            </w:pPr>
            <w:r>
              <w:rPr>
                <w:b/>
                <w:bCs/>
                <w:color w:val="000000"/>
                <w:sz w:val="20"/>
              </w:rPr>
              <w:t>50000</w:t>
            </w:r>
          </w:p>
        </w:tc>
        <w:tc>
          <w:tcPr>
            <w:tcW w:w="900"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color w:val="000000"/>
                <w:sz w:val="20"/>
              </w:rPr>
            </w:pPr>
            <w:r>
              <w:rPr>
                <w:b/>
                <w:bCs/>
                <w:color w:val="000000"/>
                <w:sz w:val="20"/>
              </w:rPr>
            </w:r>
          </w:p>
        </w:tc>
        <w:tc>
          <w:tcPr>
            <w:tcW w:w="933"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color w:val="000000"/>
                <w:sz w:val="20"/>
              </w:rPr>
            </w:pPr>
            <w:r>
              <w:rPr>
                <w:b/>
                <w:bCs/>
                <w:color w:val="000000"/>
                <w:sz w:val="20"/>
              </w:rPr>
              <w:t>50232,9</w:t>
            </w:r>
          </w:p>
        </w:tc>
        <w:tc>
          <w:tcPr>
            <w:tcW w:w="558" w:type="dxa"/>
            <w:tcBorders>
              <w:top w:val="single" w:sz="4" w:space="0" w:color="000000"/>
              <w:bottom w:val="single" w:sz="4" w:space="0" w:color="000000"/>
              <w:right w:val="single" w:sz="4" w:space="0" w:color="000000"/>
            </w:tcBorders>
            <w:shd w:color="auto" w:fill="auto" w:val="clear"/>
            <w:vAlign w:val="center"/>
          </w:tcPr>
          <w:p>
            <w:pPr>
              <w:pStyle w:val="Normal"/>
              <w:jc w:val="center"/>
              <w:rPr>
                <w:b/>
                <w:color w:val="000000"/>
                <w:sz w:val="20"/>
              </w:rPr>
            </w:pPr>
            <w:r>
              <w:rPr>
                <w:b/>
                <w:color w:val="000000"/>
                <w:sz w:val="20"/>
              </w:rPr>
            </w:r>
          </w:p>
        </w:tc>
        <w:tc>
          <w:tcPr>
            <w:tcW w:w="998" w:type="dxa"/>
            <w:tcBorders>
              <w:top w:val="single" w:sz="4" w:space="0" w:color="000000"/>
              <w:bottom w:val="single" w:sz="4" w:space="0" w:color="000000"/>
              <w:right w:val="single" w:sz="4" w:space="0" w:color="000000"/>
            </w:tcBorders>
            <w:shd w:color="auto" w:fill="auto" w:val="clear"/>
            <w:vAlign w:val="center"/>
          </w:tcPr>
          <w:p>
            <w:pPr>
              <w:pStyle w:val="Normal"/>
              <w:jc w:val="center"/>
              <w:rPr>
                <w:b/>
                <w:color w:val="000000"/>
                <w:sz w:val="20"/>
              </w:rPr>
            </w:pPr>
            <w:r>
              <w:rPr>
                <w:b/>
                <w:color w:val="000000"/>
                <w:sz w:val="20"/>
              </w:rPr>
              <w:t>54600,0</w:t>
            </w:r>
          </w:p>
        </w:tc>
        <w:tc>
          <w:tcPr>
            <w:tcW w:w="1007" w:type="dxa"/>
            <w:tcBorders>
              <w:top w:val="single" w:sz="4" w:space="0" w:color="000000"/>
              <w:bottom w:val="single" w:sz="4" w:space="0" w:color="000000"/>
              <w:right w:val="single" w:sz="4" w:space="0" w:color="000000"/>
            </w:tcBorders>
            <w:shd w:color="auto" w:fill="auto" w:val="clear"/>
            <w:vAlign w:val="center"/>
          </w:tcPr>
          <w:p>
            <w:pPr>
              <w:pStyle w:val="Normal"/>
              <w:jc w:val="center"/>
              <w:rPr>
                <w:b/>
                <w:color w:val="000000"/>
                <w:sz w:val="20"/>
              </w:rPr>
            </w:pPr>
            <w:r>
              <w:rPr>
                <w:b/>
                <w:color w:val="000000"/>
                <w:sz w:val="20"/>
              </w:rPr>
            </w:r>
          </w:p>
        </w:tc>
        <w:tc>
          <w:tcPr>
            <w:tcW w:w="1582" w:type="dxa"/>
            <w:tcBorders>
              <w:top w:val="single" w:sz="4" w:space="0" w:color="000000"/>
              <w:bottom w:val="single" w:sz="4" w:space="0" w:color="000000"/>
              <w:right w:val="single" w:sz="4" w:space="0" w:color="000000"/>
            </w:tcBorders>
            <w:shd w:color="auto" w:fill="auto" w:val="clear"/>
            <w:vAlign w:val="center"/>
          </w:tcPr>
          <w:p>
            <w:pPr>
              <w:pStyle w:val="Normal"/>
              <w:jc w:val="center"/>
              <w:rPr>
                <w:b/>
                <w:bCs/>
                <w:color w:val="000000"/>
                <w:sz w:val="20"/>
              </w:rPr>
            </w:pPr>
            <w:r>
              <w:rPr>
                <w:b/>
                <w:bCs/>
                <w:color w:val="000000"/>
                <w:sz w:val="20"/>
              </w:rPr>
            </w:r>
          </w:p>
        </w:tc>
      </w:tr>
    </w:tbl>
    <w:p>
      <w:pPr>
        <w:pStyle w:val="Normal"/>
        <w:rPr>
          <w:b/>
        </w:rPr>
      </w:pPr>
      <w:r>
        <w:rPr>
          <w:b/>
        </w:rPr>
      </w:r>
    </w:p>
    <w:p>
      <w:pPr>
        <w:pStyle w:val="Normal"/>
        <w:rPr/>
      </w:pPr>
      <w:r>
        <w:rPr/>
        <w:t>*строительство с подводящими коммуникациями в ценах 2012 года</w:t>
      </w:r>
    </w:p>
    <w:p>
      <w:pPr>
        <w:pStyle w:val="Normal"/>
        <w:rPr/>
      </w:pPr>
      <w:r>
        <w:rPr/>
      </w:r>
    </w:p>
    <w:p>
      <w:pPr>
        <w:pStyle w:val="Normal"/>
        <w:jc w:val="right"/>
        <w:rPr/>
      </w:pPr>
      <w:r>
        <w:rPr/>
      </w:r>
    </w:p>
    <w:p>
      <w:pPr>
        <w:pStyle w:val="Normal"/>
        <w:ind w:firstLine="708"/>
        <w:jc w:val="both"/>
        <w:rPr/>
      </w:pPr>
      <w:r>
        <w:rPr/>
      </w:r>
    </w:p>
    <w:p>
      <w:pPr>
        <w:pStyle w:val="Normal"/>
        <w:ind w:firstLine="708"/>
        <w:jc w:val="both"/>
        <w:rPr/>
      </w:pPr>
      <w:r>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rPr>
          <w:sz w:val="28"/>
          <w:szCs w:val="28"/>
        </w:rPr>
      </w:pPr>
      <w:r>
        <w:rPr>
          <w:sz w:val="28"/>
          <w:szCs w:val="28"/>
        </w:rPr>
      </w:r>
    </w:p>
    <w:p>
      <w:pPr>
        <w:pStyle w:val="Normal"/>
        <w:rPr/>
      </w:pPr>
      <w:r>
        <w:rPr/>
      </w:r>
      <w:bookmarkStart w:id="12" w:name="_GoBack"/>
      <w:bookmarkStart w:id="13" w:name="_GoBack"/>
      <w:bookmarkEnd w:id="13"/>
    </w:p>
    <w:sectPr>
      <w:headerReference w:type="default" r:id="rId8"/>
      <w:headerReference w:type="first" r:id="rId9"/>
      <w:footerReference w:type="default" r:id="rId10"/>
      <w:footerReference w:type="first" r:id="rId11"/>
      <w:type w:val="nextPage"/>
      <w:pgSz w:orient="landscape" w:w="16838" w:h="11906"/>
      <w:pgMar w:left="1134" w:right="567" w:gutter="0" w:header="709" w:top="766"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alibri Light">
    <w:charset w:val="cc"/>
    <w:family w:val="roman"/>
    <w:pitch w:val="variable"/>
  </w:font>
  <w:font w:name="Liberation Sans">
    <w:altName w:val="Arial"/>
    <w:charset w:val="cc"/>
    <w:family w:val="swiss"/>
    <w:pitch w:val="variable"/>
  </w:font>
  <w:font w:name="Courier New">
    <w:charset w:val="cc"/>
    <w:family w:val="roman"/>
    <w:pitch w:val="variable"/>
  </w:font>
  <w:font w:name="Courier New">
    <w:charset w:val="01"/>
    <w:family w:val="modern"/>
    <w:pitch w:val="fixed"/>
  </w:font>
  <w:font w:name="Wingdings">
    <w:charset w:val="02"/>
    <w:family w:val="auto"/>
    <w:pitch w:val="variable"/>
  </w:font>
  <w:font w:name="Wingdings 2">
    <w:charset w:val="02"/>
    <w:family w:val="auto"/>
    <w:pitch w:val="default"/>
  </w:font>
  <w:font w:name="StarSymbol">
    <w:altName w:val="Arial Unicode MS"/>
    <w:charset w:val="01"/>
    <w:family w:val="auto"/>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2"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Foot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 name="Врезка2"/>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Header"/>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65"/>
        </w:tabs>
        <w:ind w:left="765" w:hanging="405"/>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2" w:hAnsi="Wingdings 2" w:cs="Wingdings 2"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sz w:val="18"/>
        <w:szCs w:val="18"/>
      </w:rPr>
    </w:lvl>
    <w:lvl w:ilvl="5">
      <w:start w:val="1"/>
      <w:numFmt w:val="bullet"/>
      <w:lvlText w:val="■"/>
      <w:lvlJc w:val="left"/>
      <w:pPr>
        <w:tabs>
          <w:tab w:val="num" w:pos="2520"/>
        </w:tabs>
        <w:ind w:left="2520" w:hanging="360"/>
      </w:pPr>
      <w:rPr>
        <w:rFonts w:ascii="StarSymbol" w:hAnsi="StarSymbol" w:cs="StarSymbol" w:hint="default"/>
        <w:sz w:val="18"/>
        <w:szCs w:val="18"/>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sz w:val="18"/>
        <w:szCs w:val="18"/>
      </w:rPr>
    </w:lvl>
    <w:lvl w:ilvl="8">
      <w:start w:val="1"/>
      <w:numFmt w:val="bullet"/>
      <w:lvlText w:val="■"/>
      <w:lvlJc w:val="left"/>
      <w:pPr>
        <w:tabs>
          <w:tab w:val="num" w:pos="3600"/>
        </w:tabs>
        <w:ind w:left="3600" w:hanging="360"/>
      </w:pPr>
      <w:rPr>
        <w:rFonts w:ascii="StarSymbol" w:hAnsi="StarSymbol" w:cs="StarSymbol" w:hint="default"/>
        <w:sz w:val="18"/>
        <w:szCs w:val="18"/>
      </w:rPr>
    </w:lvl>
  </w:abstractNum>
  <w:abstractNum w:abstractNumId="5">
    <w:lvl w:ilvl="0">
      <w:start w:val="1"/>
      <w:numFmt w:val="decimal"/>
      <w:lvlText w:val="%1."/>
      <w:lvlJc w:val="left"/>
      <w:pPr>
        <w:tabs>
          <w:tab w:val="num" w:pos="720"/>
        </w:tabs>
        <w:ind w:left="720" w:hanging="360"/>
      </w:pPr>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bd3"/>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Heading1">
    <w:name w:val="Heading 1"/>
    <w:basedOn w:val="Normal"/>
    <w:next w:val="Normal"/>
    <w:link w:val="1"/>
    <w:qFormat/>
    <w:rsid w:val="00aa2bd3"/>
    <w:pPr>
      <w:keepNext w:val="true"/>
      <w:outlineLvl w:val="0"/>
    </w:pPr>
    <w:rPr>
      <w:b/>
      <w:szCs w:val="20"/>
    </w:rPr>
  </w:style>
  <w:style w:type="paragraph" w:styleId="Heading2">
    <w:name w:val="Heading 2"/>
    <w:basedOn w:val="Normal"/>
    <w:next w:val="Normal"/>
    <w:link w:val="2"/>
    <w:unhideWhenUsed/>
    <w:qFormat/>
    <w:rsid w:val="00aa2bd3"/>
    <w:pPr>
      <w:keepNext w:val="true"/>
      <w:spacing w:before="240" w:after="60"/>
      <w:outlineLvl w:val="1"/>
    </w:pPr>
    <w:rPr>
      <w:rFonts w:ascii="Cambria" w:hAnsi="Cambria"/>
      <w:b/>
      <w:bCs/>
      <w:i/>
      <w:iCs/>
      <w:sz w:val="28"/>
      <w:szCs w:val="28"/>
    </w:rPr>
  </w:style>
  <w:style w:type="paragraph" w:styleId="Heading3">
    <w:name w:val="Heading 3"/>
    <w:basedOn w:val="Normal"/>
    <w:next w:val="Normal"/>
    <w:link w:val="3"/>
    <w:qFormat/>
    <w:rsid w:val="00aa2bd3"/>
    <w:pPr>
      <w:keepNext w:val="true"/>
      <w:spacing w:before="240" w:after="60"/>
      <w:outlineLvl w:val="2"/>
    </w:pPr>
    <w:rPr>
      <w:rFonts w:ascii="Arial" w:hAnsi="Arial" w:cs="Arial"/>
      <w:b/>
      <w:bCs/>
      <w:sz w:val="26"/>
      <w:szCs w:val="26"/>
    </w:rPr>
  </w:style>
  <w:style w:type="paragraph" w:styleId="Heading4">
    <w:name w:val="Heading 4"/>
    <w:basedOn w:val="Normal"/>
    <w:next w:val="Normal"/>
    <w:link w:val="4"/>
    <w:unhideWhenUsed/>
    <w:qFormat/>
    <w:rsid w:val="00aa2bd3"/>
    <w:pPr>
      <w:keepNext w:val="true"/>
      <w:spacing w:before="240" w:after="60"/>
      <w:outlineLvl w:val="3"/>
    </w:pPr>
    <w:rPr>
      <w:rFonts w:ascii="Calibri" w:hAnsi="Calibri"/>
      <w:b/>
      <w:bCs/>
      <w:sz w:val="28"/>
      <w:szCs w:val="28"/>
    </w:rPr>
  </w:style>
  <w:style w:type="paragraph" w:styleId="Heading5">
    <w:name w:val="Heading 5"/>
    <w:basedOn w:val="Normal"/>
    <w:next w:val="Normal"/>
    <w:link w:val="5"/>
    <w:qFormat/>
    <w:rsid w:val="00aa2bd3"/>
    <w:pPr>
      <w:spacing w:before="240" w:after="60"/>
      <w:outlineLvl w:val="4"/>
    </w:pPr>
    <w:rPr>
      <w:b/>
      <w:bCs/>
      <w:i/>
      <w:iCs/>
      <w:sz w:val="26"/>
      <w:szCs w:val="26"/>
    </w:rPr>
  </w:style>
  <w:style w:type="paragraph" w:styleId="Heading9">
    <w:name w:val="Heading 9"/>
    <w:basedOn w:val="Normal"/>
    <w:next w:val="Normal"/>
    <w:link w:val="9"/>
    <w:unhideWhenUsed/>
    <w:qFormat/>
    <w:rsid w:val="00aa2bd3"/>
    <w:pPr>
      <w:spacing w:before="240" w:after="60"/>
      <w:outlineLvl w:val="8"/>
    </w:pPr>
    <w:rPr>
      <w:rFonts w:ascii="Cambria" w:hAnsi="Cambria"/>
      <w:sz w:val="22"/>
      <w:szCs w:val="22"/>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aa2bd3"/>
    <w:rPr>
      <w:rFonts w:ascii="Times New Roman" w:hAnsi="Times New Roman" w:eastAsia="Times New Roman" w:cs="Times New Roman"/>
      <w:b/>
      <w:sz w:val="24"/>
      <w:szCs w:val="20"/>
      <w:lang w:eastAsia="ru-RU"/>
    </w:rPr>
  </w:style>
  <w:style w:type="character" w:styleId="2" w:customStyle="1">
    <w:name w:val="Заголовок 2 Знак"/>
    <w:basedOn w:val="DefaultParagraphFont"/>
    <w:qFormat/>
    <w:rsid w:val="00aa2bd3"/>
    <w:rPr>
      <w:rFonts w:ascii="Cambria" w:hAnsi="Cambria" w:eastAsia="Times New Roman" w:cs="Times New Roman"/>
      <w:b/>
      <w:bCs/>
      <w:i/>
      <w:iCs/>
      <w:sz w:val="28"/>
      <w:szCs w:val="28"/>
      <w:lang w:eastAsia="ru-RU"/>
    </w:rPr>
  </w:style>
  <w:style w:type="character" w:styleId="3" w:customStyle="1">
    <w:name w:val="Заголовок 3 Знак"/>
    <w:basedOn w:val="DefaultParagraphFont"/>
    <w:qFormat/>
    <w:rsid w:val="00aa2bd3"/>
    <w:rPr>
      <w:rFonts w:ascii="Arial" w:hAnsi="Arial" w:eastAsia="Times New Roman" w:cs="Arial"/>
      <w:b/>
      <w:bCs/>
      <w:sz w:val="26"/>
      <w:szCs w:val="26"/>
      <w:lang w:eastAsia="ru-RU"/>
    </w:rPr>
  </w:style>
  <w:style w:type="character" w:styleId="4" w:customStyle="1">
    <w:name w:val="Заголовок 4 Знак"/>
    <w:basedOn w:val="DefaultParagraphFont"/>
    <w:qFormat/>
    <w:rsid w:val="00aa2bd3"/>
    <w:rPr>
      <w:rFonts w:ascii="Calibri" w:hAnsi="Calibri" w:eastAsia="Times New Roman" w:cs="Times New Roman"/>
      <w:b/>
      <w:bCs/>
      <w:sz w:val="28"/>
      <w:szCs w:val="28"/>
      <w:lang w:eastAsia="ru-RU"/>
    </w:rPr>
  </w:style>
  <w:style w:type="character" w:styleId="5" w:customStyle="1">
    <w:name w:val="Заголовок 5 Знак"/>
    <w:basedOn w:val="DefaultParagraphFont"/>
    <w:qFormat/>
    <w:rsid w:val="00aa2bd3"/>
    <w:rPr>
      <w:rFonts w:ascii="Times New Roman" w:hAnsi="Times New Roman" w:eastAsia="Times New Roman" w:cs="Times New Roman"/>
      <w:b/>
      <w:bCs/>
      <w:i/>
      <w:iCs/>
      <w:sz w:val="26"/>
      <w:szCs w:val="26"/>
      <w:lang w:eastAsia="ru-RU"/>
    </w:rPr>
  </w:style>
  <w:style w:type="character" w:styleId="9" w:customStyle="1">
    <w:name w:val="Заголовок 9 Знак"/>
    <w:basedOn w:val="DefaultParagraphFont"/>
    <w:qFormat/>
    <w:rsid w:val="00aa2bd3"/>
    <w:rPr>
      <w:rFonts w:ascii="Cambria" w:hAnsi="Cambria" w:eastAsia="Times New Roman" w:cs="Times New Roman"/>
      <w:lang w:eastAsia="ru-RU"/>
    </w:rPr>
  </w:style>
  <w:style w:type="character" w:styleId="31" w:customStyle="1">
    <w:name w:val="Основной текст 3 Знак"/>
    <w:basedOn w:val="DefaultParagraphFont"/>
    <w:link w:val="BodyText3"/>
    <w:qFormat/>
    <w:rsid w:val="00aa2bd3"/>
    <w:rPr>
      <w:rFonts w:ascii="Times New Roman" w:hAnsi="Times New Roman" w:eastAsia="Times New Roman" w:cs="Times New Roman"/>
      <w:sz w:val="16"/>
      <w:szCs w:val="16"/>
      <w:lang w:eastAsia="ru-RU"/>
    </w:rPr>
  </w:style>
  <w:style w:type="character" w:styleId="21" w:customStyle="1">
    <w:name w:val="Основной текст 2 Знак"/>
    <w:basedOn w:val="DefaultParagraphFont"/>
    <w:link w:val="BodyText2"/>
    <w:qFormat/>
    <w:rsid w:val="00aa2bd3"/>
    <w:rPr>
      <w:rFonts w:ascii="Times New Roman" w:hAnsi="Times New Roman" w:eastAsia="Times New Roman" w:cs="Times New Roman"/>
      <w:sz w:val="24"/>
      <w:szCs w:val="24"/>
      <w:lang w:eastAsia="ru-RU"/>
    </w:rPr>
  </w:style>
  <w:style w:type="character" w:styleId="Style8" w:customStyle="1">
    <w:name w:val="Нижний колонтитул Знак"/>
    <w:basedOn w:val="DefaultParagraphFont"/>
    <w:qFormat/>
    <w:rsid w:val="00aa2bd3"/>
    <w:rPr>
      <w:rFonts w:ascii="Times New Roman" w:hAnsi="Times New Roman" w:eastAsia="Times New Roman" w:cs="Times New Roman"/>
      <w:sz w:val="24"/>
      <w:szCs w:val="24"/>
      <w:lang w:eastAsia="ru-RU"/>
    </w:rPr>
  </w:style>
  <w:style w:type="character" w:styleId="Pagenumber">
    <w:name w:val="page number"/>
    <w:basedOn w:val="DefaultParagraphFont"/>
    <w:qFormat/>
    <w:rsid w:val="00aa2bd3"/>
    <w:rPr/>
  </w:style>
  <w:style w:type="character" w:styleId="Style9" w:customStyle="1">
    <w:name w:val="Название Знак"/>
    <w:basedOn w:val="DefaultParagraphFont"/>
    <w:qFormat/>
    <w:rsid w:val="00aa2bd3"/>
    <w:rPr>
      <w:sz w:val="24"/>
    </w:rPr>
  </w:style>
  <w:style w:type="character" w:styleId="Style10" w:customStyle="1">
    <w:name w:val="Текст выноски Знак"/>
    <w:basedOn w:val="DefaultParagraphFont"/>
    <w:link w:val="BalloonText"/>
    <w:qFormat/>
    <w:rsid w:val="00aa2bd3"/>
    <w:rPr>
      <w:rFonts w:ascii="Tahoma" w:hAnsi="Tahoma" w:eastAsia="Times New Roman" w:cs="Tahoma"/>
      <w:sz w:val="16"/>
      <w:szCs w:val="16"/>
      <w:lang w:eastAsia="ru-RU"/>
    </w:rPr>
  </w:style>
  <w:style w:type="character" w:styleId="Style11" w:customStyle="1">
    <w:name w:val="Основной текст Знак"/>
    <w:basedOn w:val="DefaultParagraphFont"/>
    <w:qFormat/>
    <w:rsid w:val="00aa2bd3"/>
    <w:rPr>
      <w:rFonts w:ascii="Times New Roman" w:hAnsi="Times New Roman" w:eastAsia="Times New Roman" w:cs="Times New Roman"/>
      <w:sz w:val="24"/>
      <w:szCs w:val="24"/>
      <w:lang w:eastAsia="ru-RU"/>
    </w:rPr>
  </w:style>
  <w:style w:type="character" w:styleId="22" w:customStyle="1">
    <w:name w:val="Основной текст с отступом 2 Знак"/>
    <w:basedOn w:val="DefaultParagraphFont"/>
    <w:link w:val="BodyTextIndent2"/>
    <w:qFormat/>
    <w:rsid w:val="00aa2bd3"/>
    <w:rPr>
      <w:rFonts w:ascii="Times New Roman" w:hAnsi="Times New Roman" w:eastAsia="Times New Roman" w:cs="Times New Roman"/>
      <w:sz w:val="24"/>
      <w:szCs w:val="24"/>
      <w:lang w:eastAsia="ru-RU"/>
    </w:rPr>
  </w:style>
  <w:style w:type="character" w:styleId="Style12" w:customStyle="1">
    <w:name w:val="Верхний колонтитул Знак"/>
    <w:basedOn w:val="DefaultParagraphFont"/>
    <w:qFormat/>
    <w:rsid w:val="00aa2bd3"/>
    <w:rPr>
      <w:rFonts w:ascii="Times New Roman" w:hAnsi="Times New Roman" w:eastAsia="Times New Roman" w:cs="Times New Roman"/>
      <w:sz w:val="24"/>
      <w:szCs w:val="24"/>
      <w:lang w:eastAsia="ru-RU"/>
    </w:rPr>
  </w:style>
  <w:style w:type="character" w:styleId="Style13" w:customStyle="1">
    <w:name w:val="Основной текст с отступом Знак"/>
    <w:basedOn w:val="DefaultParagraphFont"/>
    <w:qFormat/>
    <w:rsid w:val="00aa2bd3"/>
    <w:rPr>
      <w:rFonts w:ascii="Times New Roman" w:hAnsi="Times New Roman" w:eastAsia="Times New Roman" w:cs="Times New Roman"/>
      <w:sz w:val="24"/>
      <w:szCs w:val="24"/>
      <w:lang w:eastAsia="ru-RU"/>
    </w:rPr>
  </w:style>
  <w:style w:type="character" w:styleId="FontStyle59" w:customStyle="1">
    <w:name w:val="Font Style59"/>
    <w:basedOn w:val="DefaultParagraphFont"/>
    <w:uiPriority w:val="99"/>
    <w:qFormat/>
    <w:rsid w:val="00aa2bd3"/>
    <w:rPr>
      <w:rFonts w:ascii="Times New Roman" w:hAnsi="Times New Roman" w:cs="Times New Roman"/>
      <w:sz w:val="22"/>
      <w:szCs w:val="22"/>
    </w:rPr>
  </w:style>
  <w:style w:type="character" w:styleId="FontStyle58" w:customStyle="1">
    <w:name w:val="Font Style58"/>
    <w:basedOn w:val="DefaultParagraphFont"/>
    <w:uiPriority w:val="99"/>
    <w:qFormat/>
    <w:rsid w:val="00aa2bd3"/>
    <w:rPr>
      <w:rFonts w:ascii="Times New Roman" w:hAnsi="Times New Roman" w:cs="Times New Roman"/>
      <w:b/>
      <w:bCs/>
      <w:sz w:val="22"/>
      <w:szCs w:val="22"/>
    </w:rPr>
  </w:style>
  <w:style w:type="character" w:styleId="11" w:customStyle="1">
    <w:name w:val="Основной шрифт абзаца1"/>
    <w:qFormat/>
    <w:rsid w:val="00aa2bd3"/>
    <w:rPr/>
  </w:style>
  <w:style w:type="character" w:styleId="Style14" w:customStyle="1">
    <w:name w:val="Заголовок Знак"/>
    <w:basedOn w:val="DefaultParagraphFont"/>
    <w:uiPriority w:val="10"/>
    <w:qFormat/>
    <w:rsid w:val="00aa2bd3"/>
    <w:rPr>
      <w:rFonts w:ascii="Calibri Light" w:hAnsi="Calibri Light" w:eastAsia="" w:cs="" w:asciiTheme="majorHAnsi" w:cstheme="majorBidi" w:eastAsiaTheme="majorEastAsia" w:hAnsiTheme="majorHAnsi"/>
      <w:spacing w:val="-10"/>
      <w:kern w:val="2"/>
      <w:sz w:val="56"/>
      <w:szCs w:val="56"/>
      <w:lang w:eastAsia="ru-RU"/>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1"/>
    <w:rsid w:val="00aa2bd3"/>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BodyText3">
    <w:name w:val="Body Text 3"/>
    <w:basedOn w:val="Normal"/>
    <w:link w:val="31"/>
    <w:qFormat/>
    <w:rsid w:val="00aa2bd3"/>
    <w:pPr>
      <w:spacing w:before="0" w:after="120"/>
    </w:pPr>
    <w:rPr>
      <w:sz w:val="16"/>
      <w:szCs w:val="16"/>
    </w:rPr>
  </w:style>
  <w:style w:type="paragraph" w:styleId="311" w:customStyle="1">
    <w:name w:val="Основной текст 31"/>
    <w:basedOn w:val="Normal"/>
    <w:qFormat/>
    <w:rsid w:val="00aa2bd3"/>
    <w:pPr>
      <w:spacing w:before="0" w:after="120"/>
    </w:pPr>
    <w:rPr>
      <w:sz w:val="16"/>
      <w:szCs w:val="16"/>
      <w:lang w:eastAsia="ar-SA"/>
    </w:rPr>
  </w:style>
  <w:style w:type="paragraph" w:styleId="ConsNormal" w:customStyle="1">
    <w:name w:val="ConsNormal"/>
    <w:qFormat/>
    <w:rsid w:val="00aa2bd3"/>
    <w:pPr>
      <w:widowControl w:val="false"/>
      <w:bidi w:val="0"/>
      <w:spacing w:lineRule="auto" w:line="240" w:before="0" w:after="0"/>
      <w:ind w:firstLine="720" w:right="19772"/>
      <w:jc w:val="left"/>
    </w:pPr>
    <w:rPr>
      <w:rFonts w:ascii="Arial" w:hAnsi="Arial" w:eastAsia="Times New Roman" w:cs="Arial"/>
      <w:color w:val="auto"/>
      <w:kern w:val="0"/>
      <w:sz w:val="40"/>
      <w:szCs w:val="40"/>
      <w:lang w:eastAsia="ru-RU" w:val="ru-RU" w:bidi="ar-SA"/>
    </w:rPr>
  </w:style>
  <w:style w:type="paragraph" w:styleId="ConsPlusNormal" w:customStyle="1">
    <w:name w:val="ConsPlusNormal"/>
    <w:qFormat/>
    <w:rsid w:val="00aa2bd3"/>
    <w:pPr>
      <w:widowControl w:val="false"/>
      <w:bidi w:val="0"/>
      <w:spacing w:lineRule="auto" w:line="240" w:before="0" w:after="0"/>
      <w:ind w:firstLine="720"/>
      <w:jc w:val="left"/>
    </w:pPr>
    <w:rPr>
      <w:rFonts w:ascii="Arial" w:hAnsi="Arial" w:eastAsia="Times New Roman" w:cs="Times New Roman"/>
      <w:color w:val="auto"/>
      <w:kern w:val="0"/>
      <w:sz w:val="20"/>
      <w:szCs w:val="20"/>
      <w:lang w:eastAsia="ru-RU" w:val="ru-RU" w:bidi="ar-SA"/>
    </w:rPr>
  </w:style>
  <w:style w:type="paragraph" w:styleId="BodyText2">
    <w:name w:val="Body Text 2"/>
    <w:basedOn w:val="Normal"/>
    <w:link w:val="21"/>
    <w:qFormat/>
    <w:rsid w:val="00aa2bd3"/>
    <w:pPr>
      <w:spacing w:lineRule="auto" w:line="480" w:before="0" w:after="120"/>
    </w:pPr>
    <w:rPr/>
  </w:style>
  <w:style w:type="paragraph" w:styleId="BlockText">
    <w:name w:val="Block Text"/>
    <w:basedOn w:val="Normal"/>
    <w:qFormat/>
    <w:rsid w:val="00aa2bd3"/>
    <w:pPr>
      <w:ind w:firstLine="851" w:left="567" w:right="-1333"/>
      <w:jc w:val="both"/>
    </w:pPr>
    <w:rPr>
      <w:sz w:val="28"/>
      <w:szCs w:val="20"/>
    </w:rPr>
  </w:style>
  <w:style w:type="paragraph" w:styleId="Style17">
    <w:name w:val="Колонтитул"/>
    <w:basedOn w:val="Normal"/>
    <w:qFormat/>
    <w:pPr/>
    <w:rPr/>
  </w:style>
  <w:style w:type="paragraph" w:styleId="Footer">
    <w:name w:val="Footer"/>
    <w:basedOn w:val="Normal"/>
    <w:link w:val="Style8"/>
    <w:rsid w:val="00aa2bd3"/>
    <w:pPr>
      <w:tabs>
        <w:tab w:val="clear" w:pos="708"/>
        <w:tab w:val="center" w:pos="4677" w:leader="none"/>
        <w:tab w:val="right" w:pos="9355" w:leader="none"/>
      </w:tabs>
    </w:pPr>
    <w:rPr/>
  </w:style>
  <w:style w:type="paragraph" w:styleId="ConsPlusTitle" w:customStyle="1">
    <w:name w:val="ConsPlusTitle"/>
    <w:qFormat/>
    <w:rsid w:val="00aa2bd3"/>
    <w:pPr>
      <w:widowControl w:val="false"/>
      <w:bidi w:val="0"/>
      <w:spacing w:lineRule="auto" w:line="240" w:before="0" w:after="0"/>
      <w:jc w:val="left"/>
    </w:pPr>
    <w:rPr>
      <w:rFonts w:ascii="Arial" w:hAnsi="Arial" w:eastAsia="Times New Roman" w:cs="Times New Roman"/>
      <w:b/>
      <w:color w:val="auto"/>
      <w:kern w:val="0"/>
      <w:sz w:val="20"/>
      <w:szCs w:val="20"/>
      <w:lang w:eastAsia="ru-RU" w:val="ru-RU" w:bidi="ar-SA"/>
    </w:rPr>
  </w:style>
  <w:style w:type="paragraph" w:styleId="BalloonText">
    <w:name w:val="Balloon Text"/>
    <w:basedOn w:val="Normal"/>
    <w:link w:val="Style10"/>
    <w:qFormat/>
    <w:rsid w:val="00aa2bd3"/>
    <w:pPr/>
    <w:rPr>
      <w:rFonts w:ascii="Tahoma" w:hAnsi="Tahoma" w:cs="Tahoma"/>
      <w:sz w:val="16"/>
      <w:szCs w:val="16"/>
    </w:rPr>
  </w:style>
  <w:style w:type="paragraph" w:styleId="BodyTextIndent2">
    <w:name w:val="Body Text Indent 2"/>
    <w:basedOn w:val="Normal"/>
    <w:link w:val="22"/>
    <w:qFormat/>
    <w:rsid w:val="00aa2bd3"/>
    <w:pPr>
      <w:spacing w:lineRule="auto" w:line="480" w:before="0" w:after="120"/>
      <w:ind w:left="283"/>
    </w:pPr>
    <w:rPr/>
  </w:style>
  <w:style w:type="paragraph" w:styleId="Header">
    <w:name w:val="Header"/>
    <w:basedOn w:val="Normal"/>
    <w:link w:val="Style12"/>
    <w:rsid w:val="00aa2bd3"/>
    <w:pPr>
      <w:tabs>
        <w:tab w:val="clear" w:pos="708"/>
        <w:tab w:val="center" w:pos="4677" w:leader="none"/>
        <w:tab w:val="right" w:pos="9355" w:leader="none"/>
      </w:tabs>
    </w:pPr>
    <w:rPr/>
  </w:style>
  <w:style w:type="paragraph" w:styleId="TOC1">
    <w:name w:val="TOC 1"/>
    <w:basedOn w:val="Normal"/>
    <w:next w:val="Normal"/>
    <w:autoRedefine/>
    <w:rsid w:val="00aa2bd3"/>
    <w:pPr>
      <w:widowControl w:val="false"/>
      <w:suppressAutoHyphens w:val="true"/>
    </w:pPr>
    <w:rPr>
      <w:sz w:val="28"/>
      <w:szCs w:val="28"/>
      <w:lang w:eastAsia="ar-SA"/>
    </w:rPr>
  </w:style>
  <w:style w:type="paragraph" w:styleId="BodyTextIndent">
    <w:name w:val="Body Text Indent"/>
    <w:basedOn w:val="Normal"/>
    <w:link w:val="Style13"/>
    <w:rsid w:val="00aa2bd3"/>
    <w:pPr>
      <w:spacing w:before="0" w:after="120"/>
      <w:ind w:left="283"/>
    </w:pPr>
    <w:rPr/>
  </w:style>
  <w:style w:type="paragraph" w:styleId="ListParagraph">
    <w:name w:val="List Paragraph"/>
    <w:basedOn w:val="Normal"/>
    <w:qFormat/>
    <w:rsid w:val="00aa2bd3"/>
    <w:pPr>
      <w:ind w:left="708"/>
    </w:pPr>
    <w:rPr/>
  </w:style>
  <w:style w:type="paragraph" w:styleId="Style31" w:customStyle="1">
    <w:name w:val="Style31"/>
    <w:basedOn w:val="Normal"/>
    <w:uiPriority w:val="99"/>
    <w:qFormat/>
    <w:rsid w:val="00aa2bd3"/>
    <w:pPr>
      <w:widowControl w:val="false"/>
      <w:spacing w:lineRule="exact" w:line="278"/>
      <w:ind w:firstLine="566" w:left="714"/>
      <w:jc w:val="both"/>
    </w:pPr>
    <w:rPr/>
  </w:style>
  <w:style w:type="paragraph" w:styleId="Style41" w:customStyle="1">
    <w:name w:val="Style4"/>
    <w:basedOn w:val="Normal"/>
    <w:uiPriority w:val="99"/>
    <w:qFormat/>
    <w:rsid w:val="00aa2bd3"/>
    <w:pPr>
      <w:widowControl w:val="false"/>
      <w:ind w:left="714"/>
      <w:jc w:val="both"/>
    </w:pPr>
    <w:rPr/>
  </w:style>
  <w:style w:type="paragraph" w:styleId="Style25" w:customStyle="1">
    <w:name w:val="Style25"/>
    <w:basedOn w:val="Normal"/>
    <w:uiPriority w:val="99"/>
    <w:qFormat/>
    <w:rsid w:val="00aa2bd3"/>
    <w:pPr>
      <w:widowControl w:val="false"/>
      <w:spacing w:lineRule="exact" w:line="274"/>
      <w:ind w:firstLine="254" w:left="714"/>
      <w:jc w:val="both"/>
    </w:pPr>
    <w:rPr/>
  </w:style>
  <w:style w:type="paragraph" w:styleId="Style29" w:customStyle="1">
    <w:name w:val="Style29"/>
    <w:basedOn w:val="Normal"/>
    <w:uiPriority w:val="99"/>
    <w:qFormat/>
    <w:rsid w:val="00aa2bd3"/>
    <w:pPr>
      <w:widowControl w:val="false"/>
      <w:ind w:left="714"/>
      <w:jc w:val="both"/>
    </w:pPr>
    <w:rPr/>
  </w:style>
  <w:style w:type="paragraph" w:styleId="Style30" w:customStyle="1">
    <w:name w:val="Style30"/>
    <w:basedOn w:val="Normal"/>
    <w:uiPriority w:val="99"/>
    <w:qFormat/>
    <w:rsid w:val="00aa2bd3"/>
    <w:pPr>
      <w:widowControl w:val="false"/>
      <w:spacing w:lineRule="exact" w:line="278"/>
      <w:ind w:left="714"/>
      <w:jc w:val="both"/>
    </w:pPr>
    <w:rPr/>
  </w:style>
  <w:style w:type="paragraph" w:styleId="Style32" w:customStyle="1">
    <w:name w:val="Style32"/>
    <w:basedOn w:val="Normal"/>
    <w:uiPriority w:val="99"/>
    <w:qFormat/>
    <w:rsid w:val="00aa2bd3"/>
    <w:pPr>
      <w:widowControl w:val="false"/>
      <w:spacing w:lineRule="exact" w:line="278"/>
      <w:ind w:firstLine="571" w:left="714"/>
      <w:jc w:val="both"/>
    </w:pPr>
    <w:rPr/>
  </w:style>
  <w:style w:type="paragraph" w:styleId="ConsPlusNonformat" w:customStyle="1">
    <w:name w:val="ConsPlusNonformat"/>
    <w:qFormat/>
    <w:rsid w:val="00aa2bd3"/>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Cell" w:customStyle="1">
    <w:name w:val="ConsPlusCell"/>
    <w:qFormat/>
    <w:rsid w:val="00aa2bd3"/>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paragraph" w:styleId="312" w:customStyle="1">
    <w:name w:val="Основной текст с отступом 31"/>
    <w:basedOn w:val="Normal"/>
    <w:qFormat/>
    <w:rsid w:val="00aa2bd3"/>
    <w:pPr>
      <w:widowControl w:val="false"/>
      <w:suppressAutoHyphens w:val="true"/>
      <w:spacing w:before="0" w:after="120"/>
      <w:ind w:left="283"/>
    </w:pPr>
    <w:rPr>
      <w:color w:val="000000"/>
      <w:sz w:val="16"/>
      <w:szCs w:val="16"/>
      <w:lang w:eastAsia="ar-SA"/>
    </w:rPr>
  </w:style>
  <w:style w:type="paragraph" w:styleId="Style18" w:customStyle="1">
    <w:name w:val="Содержимое таблицы"/>
    <w:basedOn w:val="Normal"/>
    <w:qFormat/>
    <w:rsid w:val="00aa2bd3"/>
    <w:pPr>
      <w:widowControl w:val="false"/>
      <w:suppressLineNumbers/>
      <w:suppressAutoHyphens w:val="true"/>
    </w:pPr>
    <w:rPr>
      <w:color w:val="000000"/>
      <w:sz w:val="26"/>
      <w:szCs w:val="26"/>
      <w:lang w:eastAsia="ar-SA"/>
    </w:rPr>
  </w:style>
  <w:style w:type="paragraph" w:styleId="12Arial" w:customStyle="1">
    <w:name w:val="Стиль Основной текст отчета 12 Arial"/>
    <w:basedOn w:val="BodyText"/>
    <w:qFormat/>
    <w:rsid w:val="00aa2bd3"/>
    <w:pPr>
      <w:suppressAutoHyphens w:val="true"/>
      <w:spacing w:lineRule="atLeast" w:line="100" w:before="0" w:after="0"/>
      <w:ind w:firstLine="709"/>
      <w:jc w:val="both"/>
    </w:pPr>
    <w:rPr>
      <w:rFonts w:cs="Arial"/>
      <w:color w:val="000000"/>
      <w:sz w:val="26"/>
      <w:szCs w:val="26"/>
      <w:lang w:eastAsia="ar-SA"/>
    </w:rPr>
  </w:style>
  <w:style w:type="paragraph" w:styleId="-" w:customStyle="1">
    <w:name w:val="Таблица-текст"/>
    <w:basedOn w:val="Normal"/>
    <w:qFormat/>
    <w:rsid w:val="00aa2bd3"/>
    <w:pPr>
      <w:suppressAutoHyphens w:val="true"/>
      <w:jc w:val="center"/>
    </w:pPr>
    <w:rPr>
      <w:color w:val="000000"/>
      <w:sz w:val="20"/>
      <w:lang w:eastAsia="ar-SA"/>
    </w:rPr>
  </w:style>
  <w:style w:type="paragraph" w:styleId="NoSpacing">
    <w:name w:val="No Spacing"/>
    <w:qFormat/>
    <w:rsid w:val="00aa2bd3"/>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aption1">
    <w:name w:val="caption1"/>
    <w:basedOn w:val="Normal"/>
    <w:next w:val="Normal"/>
    <w:qFormat/>
    <w:rsid w:val="00aa2bd3"/>
    <w:pPr>
      <w:spacing w:before="0" w:after="60"/>
      <w:jc w:val="both"/>
    </w:pPr>
    <w:rPr>
      <w:b/>
      <w:bCs/>
      <w:sz w:val="20"/>
      <w:szCs w:val="20"/>
    </w:rPr>
  </w:style>
  <w:style w:type="paragraph" w:styleId="23" w:customStyle="1">
    <w:name w:val=" Знак2 Знак Знак Знак Знак Знак Знак Знак Знак Знак Знак Знак Знак Знак Знак Знак"/>
    <w:basedOn w:val="Normal"/>
    <w:qFormat/>
    <w:rsid w:val="00aa2bd3"/>
    <w:pPr>
      <w:spacing w:beforeAutospacing="1" w:afterAutospacing="1"/>
    </w:pPr>
    <w:rPr>
      <w:rFonts w:ascii="Tahoma" w:hAnsi="Tahoma"/>
      <w:sz w:val="20"/>
      <w:szCs w:val="20"/>
      <w:lang w:val="en-US" w:eastAsia="en-US"/>
    </w:rPr>
  </w:style>
  <w:style w:type="paragraph" w:styleId="Title">
    <w:name w:val="Title"/>
    <w:basedOn w:val="Normal"/>
    <w:next w:val="Normal"/>
    <w:link w:val="Style14"/>
    <w:uiPriority w:val="10"/>
    <w:qFormat/>
    <w:rsid w:val="00aa2bd3"/>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tyle19">
    <w:name w:val="Содержимое врезки"/>
    <w:basedOn w:val="Normal"/>
    <w:qFormat/>
    <w:pPr/>
    <w:rPr/>
  </w:style>
  <w:style w:type="numbering" w:styleId="NoList" w:default="1">
    <w:name w:val="No List"/>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aa2bd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LibreOffice/7.6.2.1$Windows_X86_64 LibreOffice_project/56f7684011345957bbf33a7ee678afaf4d2ba333</Application>
  <AppVersion>15.0000</AppVersion>
  <Pages>37</Pages>
  <Words>8515</Words>
  <Characters>62835</Characters>
  <CharactersWithSpaces>70431</CharactersWithSpaces>
  <Paragraphs>1540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2017-09-22T08:24:00Z</dcterms:created>
  <dc:creator>Пользователь</dc:creator>
  <dc:description/>
  <dc:language>ru-RU</dc:language>
  <cp:lastModifiedBy/>
  <dcterms:modified xsi:type="dcterms:W3CDTF">2024-07-10T10:42:10Z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